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39A" w:rsidRPr="007B3E3A" w:rsidRDefault="00436B39">
      <w:pPr>
        <w:rPr>
          <w:b/>
          <w:szCs w:val="24"/>
        </w:rPr>
      </w:pPr>
      <w:r w:rsidRPr="007B3E3A">
        <w:rPr>
          <w:b/>
          <w:szCs w:val="24"/>
        </w:rPr>
        <w:t>INTRODUCTION</w:t>
      </w:r>
    </w:p>
    <w:p w:rsidR="00A13F7C" w:rsidRPr="007B3E3A" w:rsidRDefault="00A13F7C" w:rsidP="00A13F7C">
      <w:pPr>
        <w:jc w:val="both"/>
        <w:rPr>
          <w:szCs w:val="24"/>
        </w:rPr>
      </w:pPr>
    </w:p>
    <w:p w:rsidR="00A13F7C" w:rsidRPr="007B3E3A" w:rsidRDefault="00A13F7C" w:rsidP="00A13F7C">
      <w:pPr>
        <w:jc w:val="both"/>
        <w:rPr>
          <w:szCs w:val="24"/>
        </w:rPr>
      </w:pPr>
      <w:r w:rsidRPr="007B3E3A">
        <w:rPr>
          <w:szCs w:val="24"/>
        </w:rPr>
        <w:t>The purpose of this Explanation of Significant Differences (ESD) is to explain change</w:t>
      </w:r>
      <w:r w:rsidR="00E703BF" w:rsidRPr="007B3E3A">
        <w:rPr>
          <w:szCs w:val="24"/>
        </w:rPr>
        <w:t>s</w:t>
      </w:r>
      <w:r w:rsidRPr="007B3E3A">
        <w:rPr>
          <w:szCs w:val="24"/>
        </w:rPr>
        <w:t xml:space="preserve"> made by the U.S. Environmental Protection Agency (EPA) to the remedy selected for the Genzale Plating Superfund Site (Site), located in the Town of Hempstead, Nassau County, New York. </w:t>
      </w:r>
    </w:p>
    <w:p w:rsidR="00A13F7C" w:rsidRPr="007B3E3A" w:rsidRDefault="00A13F7C" w:rsidP="00A13F7C">
      <w:pPr>
        <w:jc w:val="both"/>
        <w:rPr>
          <w:szCs w:val="24"/>
        </w:rPr>
      </w:pPr>
    </w:p>
    <w:p w:rsidR="00A13F7C" w:rsidRPr="007B3E3A" w:rsidRDefault="00A13F7C" w:rsidP="00A13F7C">
      <w:pPr>
        <w:jc w:val="both"/>
        <w:rPr>
          <w:szCs w:val="24"/>
        </w:rPr>
      </w:pPr>
      <w:r w:rsidRPr="007B3E3A">
        <w:rPr>
          <w:szCs w:val="24"/>
        </w:rPr>
        <w:t xml:space="preserve">Under Section 117(c) of the Comprehensive Environmental Response, Compensation, and Liability Act of 1980 (CERCLA or Superfund), as amended, EPA is required to publish an ESD when, after issuance of a Record of Decision (ROD), subsequent </w:t>
      </w:r>
      <w:r w:rsidR="009B553C">
        <w:rPr>
          <w:szCs w:val="24"/>
        </w:rPr>
        <w:t>circumstances</w:t>
      </w:r>
      <w:r w:rsidRPr="007B3E3A">
        <w:rPr>
          <w:szCs w:val="24"/>
        </w:rPr>
        <w:t xml:space="preserve"> lead to </w:t>
      </w:r>
      <w:r w:rsidR="009B553C">
        <w:rPr>
          <w:szCs w:val="24"/>
        </w:rPr>
        <w:t xml:space="preserve">the need for </w:t>
      </w:r>
      <w:r w:rsidRPr="007B3E3A">
        <w:rPr>
          <w:szCs w:val="24"/>
        </w:rPr>
        <w:t xml:space="preserve">significant, but not fundamental, changes in the selected site remedy. </w:t>
      </w:r>
    </w:p>
    <w:p w:rsidR="00A13F7C" w:rsidRPr="007B3E3A" w:rsidRDefault="00A13F7C" w:rsidP="00A13F7C">
      <w:pPr>
        <w:jc w:val="both"/>
        <w:rPr>
          <w:szCs w:val="24"/>
        </w:rPr>
      </w:pPr>
    </w:p>
    <w:p w:rsidR="00CD6612" w:rsidRPr="007B3E3A" w:rsidRDefault="00A13F7C" w:rsidP="00A13F7C">
      <w:pPr>
        <w:jc w:val="both"/>
        <w:rPr>
          <w:szCs w:val="24"/>
        </w:rPr>
      </w:pPr>
      <w:r w:rsidRPr="007B3E3A">
        <w:rPr>
          <w:szCs w:val="24"/>
        </w:rPr>
        <w:t>Sections 300.435(c)(2)(</w:t>
      </w:r>
      <w:proofErr w:type="spellStart"/>
      <w:r w:rsidRPr="007B3E3A">
        <w:rPr>
          <w:szCs w:val="24"/>
        </w:rPr>
        <w:t>i</w:t>
      </w:r>
      <w:proofErr w:type="spellEnd"/>
      <w:r w:rsidRPr="007B3E3A">
        <w:rPr>
          <w:szCs w:val="24"/>
        </w:rPr>
        <w:t xml:space="preserve">) and 300.825(a)(2) of the National Oil and Hazardous Substances Contingency Plan (NCP) set forth the criteria for issuing an ESD and require that an ESD be published if the remedy </w:t>
      </w:r>
      <w:r w:rsidR="009B553C">
        <w:rPr>
          <w:szCs w:val="24"/>
        </w:rPr>
        <w:t xml:space="preserve">for a site </w:t>
      </w:r>
      <w:r w:rsidRPr="007B3E3A">
        <w:rPr>
          <w:szCs w:val="24"/>
        </w:rPr>
        <w:t xml:space="preserve">is modified in </w:t>
      </w:r>
      <w:r w:rsidR="009B553C">
        <w:rPr>
          <w:szCs w:val="24"/>
        </w:rPr>
        <w:t xml:space="preserve">such </w:t>
      </w:r>
      <w:r w:rsidRPr="007B3E3A">
        <w:rPr>
          <w:szCs w:val="24"/>
        </w:rPr>
        <w:t xml:space="preserve">a way that differs significantly in either scope, performance, or cost from </w:t>
      </w:r>
      <w:r w:rsidR="009B553C">
        <w:rPr>
          <w:szCs w:val="24"/>
        </w:rPr>
        <w:t>a</w:t>
      </w:r>
      <w:r w:rsidRPr="007B3E3A">
        <w:rPr>
          <w:szCs w:val="24"/>
        </w:rPr>
        <w:t xml:space="preserve"> remedy selected for </w:t>
      </w:r>
      <w:r w:rsidR="009B553C">
        <w:rPr>
          <w:szCs w:val="24"/>
        </w:rPr>
        <w:t>a</w:t>
      </w:r>
      <w:r w:rsidRPr="007B3E3A">
        <w:rPr>
          <w:szCs w:val="24"/>
        </w:rPr>
        <w:t xml:space="preserve"> site</w:t>
      </w:r>
      <w:r w:rsidR="009B553C">
        <w:rPr>
          <w:szCs w:val="24"/>
        </w:rPr>
        <w:t xml:space="preserve"> in a ROD</w:t>
      </w:r>
      <w:r w:rsidRPr="007B3E3A">
        <w:rPr>
          <w:szCs w:val="24"/>
        </w:rPr>
        <w:t>.</w:t>
      </w:r>
    </w:p>
    <w:p w:rsidR="00436B39" w:rsidRPr="007B3E3A" w:rsidRDefault="00436B39" w:rsidP="00436B39">
      <w:pPr>
        <w:jc w:val="both"/>
        <w:rPr>
          <w:szCs w:val="24"/>
        </w:rPr>
      </w:pPr>
    </w:p>
    <w:p w:rsidR="00CD6612" w:rsidRPr="007B3E3A" w:rsidRDefault="00436B39" w:rsidP="00CD6612">
      <w:pPr>
        <w:jc w:val="both"/>
        <w:rPr>
          <w:szCs w:val="24"/>
        </w:rPr>
      </w:pPr>
      <w:r w:rsidRPr="007B3E3A">
        <w:rPr>
          <w:szCs w:val="24"/>
        </w:rPr>
        <w:t xml:space="preserve">This ESD describes changes to the </w:t>
      </w:r>
      <w:r w:rsidR="00E703BF" w:rsidRPr="007B3E3A">
        <w:rPr>
          <w:szCs w:val="24"/>
        </w:rPr>
        <w:t xml:space="preserve">groundwater </w:t>
      </w:r>
      <w:r w:rsidRPr="007B3E3A">
        <w:rPr>
          <w:szCs w:val="24"/>
        </w:rPr>
        <w:t>remed</w:t>
      </w:r>
      <w:r w:rsidR="00E703BF" w:rsidRPr="007B3E3A">
        <w:rPr>
          <w:szCs w:val="24"/>
        </w:rPr>
        <w:t>ies</w:t>
      </w:r>
      <w:r w:rsidRPr="007B3E3A">
        <w:rPr>
          <w:szCs w:val="24"/>
        </w:rPr>
        <w:t xml:space="preserve"> selected in the </w:t>
      </w:r>
      <w:r w:rsidR="00E703BF" w:rsidRPr="007B3E3A">
        <w:rPr>
          <w:szCs w:val="24"/>
        </w:rPr>
        <w:t xml:space="preserve">March </w:t>
      </w:r>
      <w:r w:rsidR="00CD6612" w:rsidRPr="007B3E3A">
        <w:rPr>
          <w:szCs w:val="24"/>
        </w:rPr>
        <w:t xml:space="preserve">1991 </w:t>
      </w:r>
      <w:r w:rsidR="00E703BF" w:rsidRPr="007B3E3A">
        <w:rPr>
          <w:szCs w:val="24"/>
        </w:rPr>
        <w:t xml:space="preserve">and September 1995 </w:t>
      </w:r>
      <w:r w:rsidR="00CD6612" w:rsidRPr="007B3E3A">
        <w:rPr>
          <w:szCs w:val="24"/>
        </w:rPr>
        <w:t>ROD</w:t>
      </w:r>
      <w:r w:rsidR="00E703BF" w:rsidRPr="007B3E3A">
        <w:rPr>
          <w:szCs w:val="24"/>
        </w:rPr>
        <w:t>s</w:t>
      </w:r>
      <w:r w:rsidR="00CD6612" w:rsidRPr="007B3E3A">
        <w:rPr>
          <w:szCs w:val="24"/>
        </w:rPr>
        <w:t xml:space="preserve">. Specifically, this ESD </w:t>
      </w:r>
      <w:r w:rsidR="00E703BF" w:rsidRPr="007B3E3A">
        <w:rPr>
          <w:szCs w:val="24"/>
        </w:rPr>
        <w:t xml:space="preserve">clearly establishes </w:t>
      </w:r>
      <w:r w:rsidR="00CD6612" w:rsidRPr="007B3E3A">
        <w:rPr>
          <w:szCs w:val="24"/>
        </w:rPr>
        <w:t xml:space="preserve">numerical </w:t>
      </w:r>
      <w:r w:rsidR="00E703BF" w:rsidRPr="007B3E3A">
        <w:rPr>
          <w:szCs w:val="24"/>
        </w:rPr>
        <w:t xml:space="preserve">remediation </w:t>
      </w:r>
      <w:r w:rsidR="00CD6612" w:rsidRPr="007B3E3A">
        <w:rPr>
          <w:szCs w:val="24"/>
        </w:rPr>
        <w:t>goals for the remaining contaminants of concern</w:t>
      </w:r>
      <w:r w:rsidR="007B3E3A">
        <w:rPr>
          <w:szCs w:val="24"/>
        </w:rPr>
        <w:t xml:space="preserve"> (COCs)</w:t>
      </w:r>
      <w:r w:rsidR="00CD6612" w:rsidRPr="007B3E3A">
        <w:rPr>
          <w:szCs w:val="24"/>
        </w:rPr>
        <w:t xml:space="preserve"> in the groundwater at the</w:t>
      </w:r>
      <w:r w:rsidR="00880983">
        <w:rPr>
          <w:szCs w:val="24"/>
        </w:rPr>
        <w:t xml:space="preserve"> </w:t>
      </w:r>
      <w:r w:rsidR="00CD6612" w:rsidRPr="007B3E3A">
        <w:rPr>
          <w:szCs w:val="24"/>
        </w:rPr>
        <w:t xml:space="preserve">Genzale </w:t>
      </w:r>
      <w:r w:rsidR="003065E1" w:rsidRPr="007B3E3A">
        <w:rPr>
          <w:szCs w:val="24"/>
        </w:rPr>
        <w:t xml:space="preserve">Plating </w:t>
      </w:r>
      <w:r w:rsidR="00CD6612" w:rsidRPr="007B3E3A">
        <w:rPr>
          <w:szCs w:val="24"/>
        </w:rPr>
        <w:t>property</w:t>
      </w:r>
      <w:r w:rsidR="007B3E3A">
        <w:rPr>
          <w:szCs w:val="24"/>
        </w:rPr>
        <w:t>.</w:t>
      </w:r>
      <w:r w:rsidR="00CD6612" w:rsidRPr="007B3E3A">
        <w:rPr>
          <w:szCs w:val="24"/>
        </w:rPr>
        <w:t xml:space="preserve"> The modifications set forth in this ESD are not considered by EPA or New York State Department of Environmental Conservation (NYSDEC) to be fundamental alterations of the remed</w:t>
      </w:r>
      <w:r w:rsidR="00E703BF" w:rsidRPr="007B3E3A">
        <w:rPr>
          <w:szCs w:val="24"/>
        </w:rPr>
        <w:t>ies</w:t>
      </w:r>
      <w:r w:rsidR="00CD6612" w:rsidRPr="007B3E3A">
        <w:rPr>
          <w:szCs w:val="24"/>
        </w:rPr>
        <w:t xml:space="preserve"> selected in the 1991 </w:t>
      </w:r>
      <w:r w:rsidR="00E703BF" w:rsidRPr="007B3E3A">
        <w:rPr>
          <w:szCs w:val="24"/>
        </w:rPr>
        <w:t xml:space="preserve">and 1995 </w:t>
      </w:r>
      <w:r w:rsidR="00CD6612" w:rsidRPr="007B3E3A">
        <w:rPr>
          <w:szCs w:val="24"/>
        </w:rPr>
        <w:t>ROD</w:t>
      </w:r>
      <w:r w:rsidR="00E703BF" w:rsidRPr="007B3E3A">
        <w:rPr>
          <w:szCs w:val="24"/>
        </w:rPr>
        <w:t>s</w:t>
      </w:r>
      <w:r w:rsidR="00CD6612" w:rsidRPr="007B3E3A">
        <w:rPr>
          <w:szCs w:val="24"/>
        </w:rPr>
        <w:t xml:space="preserve">.  </w:t>
      </w:r>
    </w:p>
    <w:p w:rsidR="00E2501F" w:rsidRPr="007B3E3A" w:rsidRDefault="00E2501F" w:rsidP="00436B39">
      <w:pPr>
        <w:jc w:val="both"/>
        <w:rPr>
          <w:szCs w:val="24"/>
        </w:rPr>
      </w:pPr>
    </w:p>
    <w:p w:rsidR="00E2501F" w:rsidRPr="007B3E3A" w:rsidRDefault="00E2501F" w:rsidP="00436B39">
      <w:pPr>
        <w:jc w:val="both"/>
        <w:rPr>
          <w:szCs w:val="24"/>
        </w:rPr>
      </w:pPr>
      <w:r w:rsidRPr="007B3E3A">
        <w:rPr>
          <w:szCs w:val="24"/>
        </w:rPr>
        <w:t xml:space="preserve">The following discussion will include a brief overview of the Site history, a description of the remedial </w:t>
      </w:r>
      <w:r w:rsidR="0039401F" w:rsidRPr="007B3E3A">
        <w:rPr>
          <w:szCs w:val="24"/>
        </w:rPr>
        <w:t xml:space="preserve">actions selected for the Site, and an </w:t>
      </w:r>
      <w:r w:rsidR="0039401F" w:rsidRPr="007B3E3A">
        <w:rPr>
          <w:szCs w:val="24"/>
        </w:rPr>
        <w:t xml:space="preserve">explanation of the significant differences from </w:t>
      </w:r>
      <w:r w:rsidR="00387A8F" w:rsidRPr="007B3E3A">
        <w:rPr>
          <w:szCs w:val="24"/>
        </w:rPr>
        <w:t xml:space="preserve">the </w:t>
      </w:r>
      <w:r w:rsidR="0039401F" w:rsidRPr="007B3E3A">
        <w:rPr>
          <w:szCs w:val="24"/>
        </w:rPr>
        <w:t>remed</w:t>
      </w:r>
      <w:r w:rsidR="00E703BF" w:rsidRPr="007B3E3A">
        <w:rPr>
          <w:szCs w:val="24"/>
        </w:rPr>
        <w:t>ie</w:t>
      </w:r>
      <w:r w:rsidR="007B3E3A" w:rsidRPr="007B3E3A">
        <w:rPr>
          <w:szCs w:val="24"/>
        </w:rPr>
        <w:t>s</w:t>
      </w:r>
      <w:r w:rsidR="0039401F" w:rsidRPr="007B3E3A">
        <w:rPr>
          <w:szCs w:val="24"/>
        </w:rPr>
        <w:t xml:space="preserve"> selected in the 1991 </w:t>
      </w:r>
      <w:r w:rsidR="00E703BF" w:rsidRPr="007B3E3A">
        <w:rPr>
          <w:szCs w:val="24"/>
        </w:rPr>
        <w:t>and 199</w:t>
      </w:r>
      <w:r w:rsidR="007B3E3A" w:rsidRPr="007B3E3A">
        <w:rPr>
          <w:szCs w:val="24"/>
        </w:rPr>
        <w:t>5</w:t>
      </w:r>
      <w:r w:rsidR="00E703BF" w:rsidRPr="007B3E3A">
        <w:rPr>
          <w:szCs w:val="24"/>
        </w:rPr>
        <w:t xml:space="preserve"> </w:t>
      </w:r>
      <w:r w:rsidR="0039401F" w:rsidRPr="007B3E3A">
        <w:rPr>
          <w:szCs w:val="24"/>
        </w:rPr>
        <w:t>ROD</w:t>
      </w:r>
      <w:r w:rsidR="00E703BF" w:rsidRPr="007B3E3A">
        <w:rPr>
          <w:szCs w:val="24"/>
        </w:rPr>
        <w:t>s</w:t>
      </w:r>
      <w:r w:rsidR="0039401F" w:rsidRPr="007B3E3A">
        <w:rPr>
          <w:szCs w:val="24"/>
        </w:rPr>
        <w:t>.</w:t>
      </w:r>
    </w:p>
    <w:p w:rsidR="0039401F" w:rsidRPr="007B3E3A" w:rsidRDefault="0039401F" w:rsidP="00436B39">
      <w:pPr>
        <w:jc w:val="both"/>
        <w:rPr>
          <w:szCs w:val="24"/>
        </w:rPr>
      </w:pPr>
    </w:p>
    <w:p w:rsidR="00E703BF" w:rsidRPr="007B3E3A" w:rsidRDefault="0039401F" w:rsidP="00E703BF">
      <w:pPr>
        <w:tabs>
          <w:tab w:val="left" w:pos="-1440"/>
          <w:tab w:val="left" w:pos="-720"/>
          <w:tab w:val="left" w:pos="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both"/>
        <w:rPr>
          <w:bCs/>
          <w:color w:val="000000"/>
          <w:szCs w:val="24"/>
        </w:rPr>
      </w:pPr>
      <w:r w:rsidRPr="007B3E3A">
        <w:rPr>
          <w:szCs w:val="24"/>
        </w:rPr>
        <w:t xml:space="preserve">This ESD will become </w:t>
      </w:r>
      <w:r w:rsidR="00F31F0F">
        <w:rPr>
          <w:szCs w:val="24"/>
        </w:rPr>
        <w:t xml:space="preserve">an important </w:t>
      </w:r>
      <w:r w:rsidRPr="007B3E3A">
        <w:rPr>
          <w:szCs w:val="24"/>
        </w:rPr>
        <w:t xml:space="preserve">part of the Administrative Record file for </w:t>
      </w:r>
      <w:r w:rsidR="00F31F0F">
        <w:rPr>
          <w:szCs w:val="24"/>
        </w:rPr>
        <w:t>this decision</w:t>
      </w:r>
      <w:r w:rsidRPr="007B3E3A">
        <w:rPr>
          <w:szCs w:val="24"/>
        </w:rPr>
        <w:t xml:space="preserve">. </w:t>
      </w:r>
      <w:r w:rsidR="00E703BF" w:rsidRPr="007B3E3A">
        <w:rPr>
          <w:bCs/>
          <w:color w:val="000000"/>
          <w:szCs w:val="24"/>
        </w:rPr>
        <w:t>The Administrative Record for the remedial decisions related to the Site is available for public review at the following locations:</w:t>
      </w:r>
    </w:p>
    <w:p w:rsidR="0039401F" w:rsidRPr="007B3E3A" w:rsidRDefault="0039401F" w:rsidP="0039401F">
      <w:pPr>
        <w:jc w:val="both"/>
        <w:rPr>
          <w:szCs w:val="24"/>
        </w:rPr>
      </w:pPr>
    </w:p>
    <w:p w:rsidR="0039401F" w:rsidRPr="007B3E3A" w:rsidRDefault="0039401F" w:rsidP="0039401F">
      <w:pPr>
        <w:jc w:val="center"/>
        <w:rPr>
          <w:szCs w:val="24"/>
        </w:rPr>
      </w:pPr>
      <w:r w:rsidRPr="007B3E3A">
        <w:rPr>
          <w:szCs w:val="24"/>
        </w:rPr>
        <w:t>Franklin Square Public Library</w:t>
      </w:r>
    </w:p>
    <w:p w:rsidR="0039401F" w:rsidRPr="007B3E3A" w:rsidRDefault="0039401F" w:rsidP="0039401F">
      <w:pPr>
        <w:jc w:val="center"/>
        <w:rPr>
          <w:szCs w:val="24"/>
        </w:rPr>
      </w:pPr>
      <w:r w:rsidRPr="007B3E3A">
        <w:rPr>
          <w:szCs w:val="24"/>
        </w:rPr>
        <w:t>19 Lincoln Road</w:t>
      </w:r>
    </w:p>
    <w:p w:rsidR="0039401F" w:rsidRPr="007B3E3A" w:rsidRDefault="0039401F" w:rsidP="0039401F">
      <w:pPr>
        <w:jc w:val="center"/>
        <w:rPr>
          <w:szCs w:val="24"/>
        </w:rPr>
      </w:pPr>
      <w:r w:rsidRPr="007B3E3A">
        <w:rPr>
          <w:szCs w:val="24"/>
        </w:rPr>
        <w:t>Franklin Square, NY 11010</w:t>
      </w:r>
    </w:p>
    <w:p w:rsidR="0039401F" w:rsidRPr="007B3E3A" w:rsidRDefault="0039401F" w:rsidP="0039401F">
      <w:pPr>
        <w:jc w:val="center"/>
        <w:rPr>
          <w:szCs w:val="24"/>
        </w:rPr>
      </w:pPr>
      <w:r w:rsidRPr="007B3E3A">
        <w:rPr>
          <w:szCs w:val="24"/>
        </w:rPr>
        <w:t>Telephone Number:</w:t>
      </w:r>
    </w:p>
    <w:p w:rsidR="0039401F" w:rsidRPr="007B3E3A" w:rsidRDefault="0039401F" w:rsidP="0039401F">
      <w:pPr>
        <w:jc w:val="center"/>
        <w:rPr>
          <w:szCs w:val="24"/>
        </w:rPr>
      </w:pPr>
      <w:r w:rsidRPr="007B3E3A">
        <w:rPr>
          <w:szCs w:val="24"/>
        </w:rPr>
        <w:t>(516) 938-0077</w:t>
      </w:r>
    </w:p>
    <w:p w:rsidR="0039401F" w:rsidRPr="007B3E3A" w:rsidRDefault="0039401F" w:rsidP="0039401F">
      <w:pPr>
        <w:jc w:val="center"/>
        <w:rPr>
          <w:szCs w:val="24"/>
        </w:rPr>
      </w:pPr>
    </w:p>
    <w:p w:rsidR="0039401F" w:rsidRPr="007B3E3A" w:rsidRDefault="0039401F" w:rsidP="0039401F">
      <w:pPr>
        <w:jc w:val="center"/>
        <w:rPr>
          <w:szCs w:val="24"/>
        </w:rPr>
      </w:pPr>
      <w:r w:rsidRPr="007B3E3A">
        <w:rPr>
          <w:szCs w:val="24"/>
        </w:rPr>
        <w:t>Hours: Monday - Friday</w:t>
      </w:r>
    </w:p>
    <w:p w:rsidR="0039401F" w:rsidRPr="007B3E3A" w:rsidRDefault="0039401F" w:rsidP="0039401F">
      <w:pPr>
        <w:jc w:val="center"/>
        <w:rPr>
          <w:szCs w:val="24"/>
        </w:rPr>
      </w:pPr>
      <w:r w:rsidRPr="007B3E3A">
        <w:rPr>
          <w:szCs w:val="24"/>
        </w:rPr>
        <w:t>9:00 a.m. - 9:00 p.m.</w:t>
      </w:r>
    </w:p>
    <w:p w:rsidR="0039401F" w:rsidRPr="007B3E3A" w:rsidRDefault="0039401F" w:rsidP="0039401F">
      <w:pPr>
        <w:jc w:val="center"/>
        <w:rPr>
          <w:szCs w:val="24"/>
        </w:rPr>
      </w:pPr>
      <w:r w:rsidRPr="007B3E3A">
        <w:rPr>
          <w:szCs w:val="24"/>
        </w:rPr>
        <w:t>Saturday, 9:30 a.m. - 5:30 p.m.</w:t>
      </w:r>
    </w:p>
    <w:p w:rsidR="0039401F" w:rsidRPr="007B3E3A" w:rsidRDefault="0039401F" w:rsidP="0039401F">
      <w:pPr>
        <w:jc w:val="center"/>
        <w:rPr>
          <w:szCs w:val="24"/>
        </w:rPr>
      </w:pPr>
      <w:r w:rsidRPr="007B3E3A">
        <w:rPr>
          <w:szCs w:val="24"/>
        </w:rPr>
        <w:t>Sunday, 1:00 p.m. - 9:00 p.m.</w:t>
      </w:r>
    </w:p>
    <w:p w:rsidR="003065E1" w:rsidRPr="007B3E3A" w:rsidRDefault="003065E1" w:rsidP="0039401F">
      <w:pPr>
        <w:jc w:val="center"/>
        <w:rPr>
          <w:szCs w:val="24"/>
        </w:rPr>
      </w:pPr>
    </w:p>
    <w:p w:rsidR="003065E1" w:rsidRPr="007B3E3A" w:rsidRDefault="003065E1" w:rsidP="0039401F">
      <w:pPr>
        <w:jc w:val="center"/>
        <w:rPr>
          <w:szCs w:val="24"/>
        </w:rPr>
      </w:pPr>
      <w:r w:rsidRPr="007B3E3A">
        <w:rPr>
          <w:szCs w:val="24"/>
        </w:rPr>
        <w:t>and</w:t>
      </w:r>
    </w:p>
    <w:p w:rsidR="0039401F" w:rsidRPr="007B3E3A" w:rsidRDefault="0039401F" w:rsidP="0039401F">
      <w:pPr>
        <w:jc w:val="both"/>
        <w:rPr>
          <w:szCs w:val="24"/>
        </w:rPr>
      </w:pPr>
    </w:p>
    <w:p w:rsidR="0039401F" w:rsidRPr="007B3E3A" w:rsidRDefault="0039401F" w:rsidP="0039401F">
      <w:pPr>
        <w:jc w:val="center"/>
        <w:rPr>
          <w:szCs w:val="24"/>
        </w:rPr>
      </w:pPr>
      <w:r w:rsidRPr="007B3E3A">
        <w:rPr>
          <w:szCs w:val="24"/>
        </w:rPr>
        <w:t>U.S. Environmental Protection Agency</w:t>
      </w:r>
    </w:p>
    <w:p w:rsidR="0039401F" w:rsidRPr="007B3E3A" w:rsidRDefault="00DF7921" w:rsidP="0039401F">
      <w:pPr>
        <w:jc w:val="center"/>
        <w:rPr>
          <w:szCs w:val="24"/>
        </w:rPr>
      </w:pPr>
      <w:r w:rsidRPr="007B3E3A">
        <w:rPr>
          <w:szCs w:val="24"/>
        </w:rPr>
        <w:t>290 Broadway, 18</w:t>
      </w:r>
      <w:r w:rsidRPr="007B3E3A">
        <w:rPr>
          <w:szCs w:val="24"/>
          <w:vertAlign w:val="superscript"/>
        </w:rPr>
        <w:t>th</w:t>
      </w:r>
      <w:r w:rsidRPr="007B3E3A">
        <w:rPr>
          <w:szCs w:val="24"/>
        </w:rPr>
        <w:t xml:space="preserve"> </w:t>
      </w:r>
      <w:r w:rsidR="0039401F" w:rsidRPr="007B3E3A">
        <w:rPr>
          <w:szCs w:val="24"/>
        </w:rPr>
        <w:t>floor</w:t>
      </w:r>
    </w:p>
    <w:p w:rsidR="0039401F" w:rsidRPr="007B3E3A" w:rsidRDefault="0039401F" w:rsidP="0039401F">
      <w:pPr>
        <w:jc w:val="center"/>
        <w:rPr>
          <w:szCs w:val="24"/>
        </w:rPr>
      </w:pPr>
      <w:r w:rsidRPr="007B3E3A">
        <w:rPr>
          <w:szCs w:val="24"/>
        </w:rPr>
        <w:t>New York, New York 10007</w:t>
      </w:r>
    </w:p>
    <w:p w:rsidR="0039401F" w:rsidRPr="007B3E3A" w:rsidRDefault="0039401F" w:rsidP="0039401F">
      <w:pPr>
        <w:jc w:val="center"/>
        <w:rPr>
          <w:szCs w:val="24"/>
        </w:rPr>
      </w:pPr>
    </w:p>
    <w:p w:rsidR="0039401F" w:rsidRPr="007B3E3A" w:rsidRDefault="0039401F" w:rsidP="0039401F">
      <w:pPr>
        <w:jc w:val="center"/>
        <w:rPr>
          <w:szCs w:val="24"/>
        </w:rPr>
      </w:pPr>
      <w:r w:rsidRPr="007B3E3A">
        <w:rPr>
          <w:szCs w:val="24"/>
        </w:rPr>
        <w:t>Hours: Monday - Friday</w:t>
      </w:r>
    </w:p>
    <w:p w:rsidR="0039401F" w:rsidRPr="007B3E3A" w:rsidRDefault="0039401F" w:rsidP="0039401F">
      <w:pPr>
        <w:jc w:val="center"/>
        <w:rPr>
          <w:szCs w:val="24"/>
        </w:rPr>
      </w:pPr>
      <w:r w:rsidRPr="007B3E3A">
        <w:rPr>
          <w:szCs w:val="24"/>
        </w:rPr>
        <w:t>9:00 am - 5:00 pm</w:t>
      </w:r>
    </w:p>
    <w:p w:rsidR="0039401F" w:rsidRPr="007B3E3A" w:rsidRDefault="0039401F" w:rsidP="0039401F">
      <w:pPr>
        <w:jc w:val="both"/>
        <w:rPr>
          <w:szCs w:val="24"/>
        </w:rPr>
      </w:pPr>
    </w:p>
    <w:p w:rsidR="0039401F" w:rsidRPr="007B3E3A" w:rsidRDefault="0034300D" w:rsidP="0039401F">
      <w:pPr>
        <w:jc w:val="both"/>
        <w:rPr>
          <w:szCs w:val="24"/>
        </w:rPr>
      </w:pPr>
      <w:r w:rsidRPr="007B3E3A">
        <w:rPr>
          <w:szCs w:val="24"/>
        </w:rPr>
        <w:t xml:space="preserve">This ESD was developed by EPA, as lead agency, with support from the </w:t>
      </w:r>
      <w:r w:rsidR="00CD6612" w:rsidRPr="007B3E3A">
        <w:rPr>
          <w:szCs w:val="24"/>
        </w:rPr>
        <w:t>NYSDEC.</w:t>
      </w:r>
    </w:p>
    <w:p w:rsidR="0039401F" w:rsidRPr="007B3E3A" w:rsidRDefault="0039401F" w:rsidP="00436B39">
      <w:pPr>
        <w:jc w:val="both"/>
        <w:rPr>
          <w:szCs w:val="24"/>
        </w:rPr>
      </w:pPr>
    </w:p>
    <w:p w:rsidR="0039401F" w:rsidRPr="007B3E3A" w:rsidRDefault="0034300D" w:rsidP="00436B39">
      <w:pPr>
        <w:jc w:val="both"/>
        <w:rPr>
          <w:b/>
          <w:szCs w:val="24"/>
        </w:rPr>
      </w:pPr>
      <w:r w:rsidRPr="007B3E3A">
        <w:rPr>
          <w:b/>
          <w:szCs w:val="24"/>
        </w:rPr>
        <w:t>SUMMARY OF SITE HISTORY, CONTAMINATION PROBLEMS, AND SELECTED REMEDIES</w:t>
      </w:r>
    </w:p>
    <w:p w:rsidR="0034300D" w:rsidRPr="007B3E3A" w:rsidRDefault="0034300D" w:rsidP="00436B39">
      <w:pPr>
        <w:jc w:val="both"/>
        <w:rPr>
          <w:b/>
          <w:szCs w:val="24"/>
        </w:rPr>
      </w:pPr>
    </w:p>
    <w:p w:rsidR="0034300D" w:rsidRPr="007B3E3A" w:rsidRDefault="00DF7921" w:rsidP="00436B39">
      <w:pPr>
        <w:jc w:val="both"/>
        <w:rPr>
          <w:szCs w:val="24"/>
        </w:rPr>
      </w:pPr>
      <w:r w:rsidRPr="007B3E3A">
        <w:rPr>
          <w:szCs w:val="24"/>
        </w:rPr>
        <w:t>The half</w:t>
      </w:r>
      <w:r w:rsidR="0034300D" w:rsidRPr="007B3E3A">
        <w:rPr>
          <w:szCs w:val="24"/>
        </w:rPr>
        <w:t xml:space="preserve">-acre former Genzale Plating Company facility </w:t>
      </w:r>
      <w:r w:rsidR="00997E23" w:rsidRPr="007B3E3A">
        <w:rPr>
          <w:szCs w:val="24"/>
        </w:rPr>
        <w:t xml:space="preserve">(Facility) </w:t>
      </w:r>
      <w:r w:rsidR="0034300D" w:rsidRPr="007B3E3A">
        <w:rPr>
          <w:szCs w:val="24"/>
        </w:rPr>
        <w:t xml:space="preserve">was a metal-plating facility, which </w:t>
      </w:r>
      <w:r w:rsidR="00023BF4" w:rsidRPr="007B3E3A">
        <w:rPr>
          <w:szCs w:val="24"/>
        </w:rPr>
        <w:t xml:space="preserve">operated from 1915 to 2000. The Facility </w:t>
      </w:r>
      <w:r w:rsidR="00982F2B" w:rsidRPr="007B3E3A">
        <w:rPr>
          <w:szCs w:val="24"/>
        </w:rPr>
        <w:t>include</w:t>
      </w:r>
      <w:r w:rsidR="008108DB" w:rsidRPr="007B3E3A">
        <w:rPr>
          <w:szCs w:val="24"/>
        </w:rPr>
        <w:t>d</w:t>
      </w:r>
      <w:r w:rsidR="00023BF4" w:rsidRPr="007B3E3A">
        <w:rPr>
          <w:szCs w:val="24"/>
        </w:rPr>
        <w:t xml:space="preserve"> a</w:t>
      </w:r>
      <w:r w:rsidR="0034300D" w:rsidRPr="007B3E3A">
        <w:rPr>
          <w:szCs w:val="24"/>
        </w:rPr>
        <w:t xml:space="preserve"> two-story building and an </w:t>
      </w:r>
      <w:r w:rsidR="00023BF4" w:rsidRPr="007B3E3A">
        <w:rPr>
          <w:szCs w:val="24"/>
        </w:rPr>
        <w:t>undeveloped backyard area that</w:t>
      </w:r>
      <w:r w:rsidR="0034300D" w:rsidRPr="007B3E3A">
        <w:rPr>
          <w:szCs w:val="24"/>
        </w:rPr>
        <w:t xml:space="preserve"> served as a parking lot and storage area. </w:t>
      </w:r>
      <w:r w:rsidR="00023BF4" w:rsidRPr="007B3E3A">
        <w:rPr>
          <w:szCs w:val="24"/>
        </w:rPr>
        <w:lastRenderedPageBreak/>
        <w:t>Operations at</w:t>
      </w:r>
      <w:r w:rsidR="00997E23" w:rsidRPr="007B3E3A">
        <w:rPr>
          <w:szCs w:val="24"/>
        </w:rPr>
        <w:t xml:space="preserve"> the F</w:t>
      </w:r>
      <w:r w:rsidR="0034300D" w:rsidRPr="007B3E3A">
        <w:rPr>
          <w:szCs w:val="24"/>
        </w:rPr>
        <w:t xml:space="preserve">acility </w:t>
      </w:r>
      <w:r w:rsidR="00982F2B" w:rsidRPr="007B3E3A">
        <w:rPr>
          <w:szCs w:val="24"/>
        </w:rPr>
        <w:t>included the</w:t>
      </w:r>
      <w:r w:rsidR="00023BF4" w:rsidRPr="007B3E3A">
        <w:rPr>
          <w:szCs w:val="24"/>
        </w:rPr>
        <w:t xml:space="preserve"> electroplating of</w:t>
      </w:r>
      <w:r w:rsidR="0034300D" w:rsidRPr="007B3E3A">
        <w:rPr>
          <w:szCs w:val="24"/>
        </w:rPr>
        <w:t xml:space="preserve"> small products such as automobile antennas, parts of ball point pens, and bottle openers.</w:t>
      </w:r>
    </w:p>
    <w:p w:rsidR="0034300D" w:rsidRPr="007B3E3A" w:rsidRDefault="0034300D" w:rsidP="00436B39">
      <w:pPr>
        <w:jc w:val="both"/>
        <w:rPr>
          <w:szCs w:val="24"/>
        </w:rPr>
      </w:pPr>
    </w:p>
    <w:p w:rsidR="0034300D" w:rsidRPr="007B3E3A" w:rsidRDefault="0034300D" w:rsidP="00436B39">
      <w:pPr>
        <w:jc w:val="both"/>
        <w:rPr>
          <w:szCs w:val="24"/>
        </w:rPr>
      </w:pPr>
      <w:r w:rsidRPr="007B3E3A">
        <w:rPr>
          <w:szCs w:val="24"/>
        </w:rPr>
        <w:t>As a result of these operations, wastewater containing heavy metals</w:t>
      </w:r>
      <w:r w:rsidR="00DF7921" w:rsidRPr="007B3E3A">
        <w:rPr>
          <w:szCs w:val="24"/>
        </w:rPr>
        <w:t xml:space="preserve"> and organic contaminants</w:t>
      </w:r>
      <w:r w:rsidRPr="007B3E3A">
        <w:rPr>
          <w:szCs w:val="24"/>
        </w:rPr>
        <w:t xml:space="preserve"> </w:t>
      </w:r>
      <w:r w:rsidR="00DF7921" w:rsidRPr="007B3E3A">
        <w:rPr>
          <w:szCs w:val="24"/>
        </w:rPr>
        <w:t>was</w:t>
      </w:r>
      <w:r w:rsidRPr="007B3E3A">
        <w:rPr>
          <w:szCs w:val="24"/>
        </w:rPr>
        <w:t xml:space="preserve"> discharged into four sub-surface leaching pits at the rear of the</w:t>
      </w:r>
      <w:r w:rsidR="00DF7921" w:rsidRPr="007B3E3A">
        <w:rPr>
          <w:szCs w:val="24"/>
        </w:rPr>
        <w:t xml:space="preserve"> F</w:t>
      </w:r>
      <w:r w:rsidR="00997E23" w:rsidRPr="007B3E3A">
        <w:rPr>
          <w:szCs w:val="24"/>
        </w:rPr>
        <w:t>acility. Although the F</w:t>
      </w:r>
      <w:r w:rsidRPr="007B3E3A">
        <w:rPr>
          <w:szCs w:val="24"/>
        </w:rPr>
        <w:t xml:space="preserve">acility was connected to the municipal sewer system in 1955, a 1981 Nassau County Department of Health (NCDH) inspection found that industrial wastewater </w:t>
      </w:r>
      <w:r w:rsidR="00F31F0F">
        <w:rPr>
          <w:szCs w:val="24"/>
        </w:rPr>
        <w:t xml:space="preserve">was </w:t>
      </w:r>
      <w:r w:rsidRPr="007B3E3A">
        <w:rPr>
          <w:szCs w:val="24"/>
        </w:rPr>
        <w:t>continu</w:t>
      </w:r>
      <w:r w:rsidR="00F31F0F">
        <w:rPr>
          <w:szCs w:val="24"/>
        </w:rPr>
        <w:t>ing</w:t>
      </w:r>
      <w:r w:rsidR="00003E10">
        <w:rPr>
          <w:szCs w:val="24"/>
        </w:rPr>
        <w:t xml:space="preserve"> to be discharged into the on-S</w:t>
      </w:r>
      <w:r w:rsidRPr="007B3E3A">
        <w:rPr>
          <w:szCs w:val="24"/>
        </w:rPr>
        <w:t>ite leaching pits.</w:t>
      </w:r>
    </w:p>
    <w:p w:rsidR="0034300D" w:rsidRPr="007B3E3A" w:rsidRDefault="0034300D" w:rsidP="00436B39">
      <w:pPr>
        <w:jc w:val="both"/>
        <w:rPr>
          <w:szCs w:val="24"/>
        </w:rPr>
      </w:pPr>
    </w:p>
    <w:p w:rsidR="0034300D" w:rsidRPr="007B3E3A" w:rsidRDefault="0034300D" w:rsidP="006644CA">
      <w:pPr>
        <w:jc w:val="both"/>
        <w:rPr>
          <w:szCs w:val="24"/>
        </w:rPr>
      </w:pPr>
      <w:r w:rsidRPr="007B3E3A">
        <w:rPr>
          <w:szCs w:val="24"/>
        </w:rPr>
        <w:t>The Genzale Plating Company was ordered by NCDH to cease the discharge</w:t>
      </w:r>
      <w:r w:rsidR="00F31F0F">
        <w:rPr>
          <w:szCs w:val="24"/>
        </w:rPr>
        <w:t xml:space="preserve"> to the on-site leaching pits</w:t>
      </w:r>
      <w:r w:rsidR="003065E1" w:rsidRPr="007B3E3A">
        <w:rPr>
          <w:szCs w:val="24"/>
        </w:rPr>
        <w:t>.  The Company</w:t>
      </w:r>
      <w:r w:rsidRPr="007B3E3A">
        <w:rPr>
          <w:szCs w:val="24"/>
        </w:rPr>
        <w:t xml:space="preserve"> </w:t>
      </w:r>
      <w:r w:rsidR="00F31F0F">
        <w:rPr>
          <w:szCs w:val="24"/>
        </w:rPr>
        <w:t xml:space="preserve">subsequently </w:t>
      </w:r>
      <w:r w:rsidRPr="007B3E3A">
        <w:rPr>
          <w:szCs w:val="24"/>
        </w:rPr>
        <w:t>began, but never completed</w:t>
      </w:r>
      <w:r w:rsidR="00982F2B" w:rsidRPr="007B3E3A">
        <w:rPr>
          <w:szCs w:val="24"/>
        </w:rPr>
        <w:t>,</w:t>
      </w:r>
      <w:r w:rsidRPr="007B3E3A">
        <w:rPr>
          <w:szCs w:val="24"/>
        </w:rPr>
        <w:t xml:space="preserve"> the excavation of sludge and contaminated soil from the pits. </w:t>
      </w:r>
      <w:r w:rsidR="006644CA" w:rsidRPr="006644CA">
        <w:rPr>
          <w:szCs w:val="24"/>
        </w:rPr>
        <w:t>The NYSDEC conducted an</w:t>
      </w:r>
      <w:r w:rsidR="00080110">
        <w:rPr>
          <w:szCs w:val="24"/>
        </w:rPr>
        <w:t xml:space="preserve"> </w:t>
      </w:r>
      <w:r w:rsidR="006644CA">
        <w:rPr>
          <w:szCs w:val="24"/>
        </w:rPr>
        <w:t>inve</w:t>
      </w:r>
      <w:r w:rsidR="006644CA" w:rsidRPr="006644CA">
        <w:rPr>
          <w:szCs w:val="24"/>
        </w:rPr>
        <w:t xml:space="preserve">stigation of </w:t>
      </w:r>
      <w:r w:rsidR="00080110">
        <w:rPr>
          <w:szCs w:val="24"/>
        </w:rPr>
        <w:t>t</w:t>
      </w:r>
      <w:r w:rsidR="006644CA" w:rsidRPr="006644CA">
        <w:rPr>
          <w:szCs w:val="24"/>
        </w:rPr>
        <w:t>he Site in 1</w:t>
      </w:r>
      <w:r w:rsidR="00080110">
        <w:rPr>
          <w:szCs w:val="24"/>
        </w:rPr>
        <w:t>9</w:t>
      </w:r>
      <w:r w:rsidR="006644CA" w:rsidRPr="006644CA">
        <w:rPr>
          <w:szCs w:val="24"/>
        </w:rPr>
        <w:t>83 to determine whether there was a threat to public health posed by potential</w:t>
      </w:r>
      <w:r w:rsidR="006644CA">
        <w:rPr>
          <w:szCs w:val="24"/>
        </w:rPr>
        <w:t xml:space="preserve"> </w:t>
      </w:r>
      <w:r w:rsidR="006644CA" w:rsidRPr="006644CA">
        <w:rPr>
          <w:szCs w:val="24"/>
        </w:rPr>
        <w:t>migration of the contam</w:t>
      </w:r>
      <w:r w:rsidR="006644CA">
        <w:rPr>
          <w:szCs w:val="24"/>
        </w:rPr>
        <w:t>i</w:t>
      </w:r>
      <w:r w:rsidR="006644CA" w:rsidRPr="006644CA">
        <w:rPr>
          <w:szCs w:val="24"/>
        </w:rPr>
        <w:t xml:space="preserve">nants to the </w:t>
      </w:r>
      <w:r w:rsidR="006644CA">
        <w:rPr>
          <w:szCs w:val="24"/>
        </w:rPr>
        <w:t>groundwater</w:t>
      </w:r>
      <w:r w:rsidRPr="007B3E3A">
        <w:rPr>
          <w:szCs w:val="24"/>
        </w:rPr>
        <w:t>. As a result of this investigation, the Site was included on the Superfund National Priorities List</w:t>
      </w:r>
      <w:r w:rsidR="00DF7921" w:rsidRPr="007B3E3A">
        <w:rPr>
          <w:szCs w:val="24"/>
        </w:rPr>
        <w:t xml:space="preserve"> in June 1986</w:t>
      </w:r>
      <w:r w:rsidRPr="007B3E3A">
        <w:rPr>
          <w:szCs w:val="24"/>
        </w:rPr>
        <w:t>.</w:t>
      </w:r>
    </w:p>
    <w:p w:rsidR="0034300D" w:rsidRPr="007B3E3A" w:rsidRDefault="0034300D" w:rsidP="00436B39">
      <w:pPr>
        <w:jc w:val="both"/>
        <w:rPr>
          <w:szCs w:val="24"/>
        </w:rPr>
      </w:pPr>
    </w:p>
    <w:p w:rsidR="00272339" w:rsidRPr="007B3E3A" w:rsidRDefault="00272339" w:rsidP="00272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7B3E3A">
        <w:rPr>
          <w:szCs w:val="24"/>
        </w:rPr>
        <w:t>In 1988</w:t>
      </w:r>
      <w:r w:rsidR="0034300D" w:rsidRPr="007B3E3A">
        <w:rPr>
          <w:szCs w:val="24"/>
        </w:rPr>
        <w:t xml:space="preserve">, EPA initiated </w:t>
      </w:r>
      <w:r w:rsidRPr="007B3E3A">
        <w:rPr>
          <w:szCs w:val="24"/>
        </w:rPr>
        <w:t xml:space="preserve">a </w:t>
      </w:r>
      <w:r w:rsidR="0034300D" w:rsidRPr="007B3E3A">
        <w:rPr>
          <w:szCs w:val="24"/>
        </w:rPr>
        <w:t>Remedial Investigation</w:t>
      </w:r>
      <w:r w:rsidR="00421C86" w:rsidRPr="007B3E3A">
        <w:rPr>
          <w:szCs w:val="24"/>
        </w:rPr>
        <w:t xml:space="preserve"> (RI)</w:t>
      </w:r>
      <w:r w:rsidR="0034300D" w:rsidRPr="007B3E3A">
        <w:rPr>
          <w:szCs w:val="24"/>
        </w:rPr>
        <w:t xml:space="preserve"> to determine the nature and extent of contamination at the Site. The study indicated that groundwater and le</w:t>
      </w:r>
      <w:r w:rsidR="00997E23" w:rsidRPr="007B3E3A">
        <w:rPr>
          <w:szCs w:val="24"/>
        </w:rPr>
        <w:t>aching pits located behind the F</w:t>
      </w:r>
      <w:r w:rsidR="0034300D" w:rsidRPr="007B3E3A">
        <w:rPr>
          <w:szCs w:val="24"/>
        </w:rPr>
        <w:t xml:space="preserve">acility were contaminated with both inorganic and organic contaminants. </w:t>
      </w:r>
      <w:r w:rsidRPr="007B3E3A">
        <w:rPr>
          <w:szCs w:val="24"/>
        </w:rPr>
        <w:t>These areas of the Site posed a threat to h</w:t>
      </w:r>
      <w:r w:rsidR="00DF7921" w:rsidRPr="007B3E3A">
        <w:rPr>
          <w:szCs w:val="24"/>
        </w:rPr>
        <w:t xml:space="preserve">uman health and the environment </w:t>
      </w:r>
      <w:r w:rsidR="00F31F0F">
        <w:rPr>
          <w:szCs w:val="24"/>
        </w:rPr>
        <w:t>because of</w:t>
      </w:r>
      <w:r w:rsidR="00DF7921" w:rsidRPr="007B3E3A">
        <w:rPr>
          <w:szCs w:val="24"/>
        </w:rPr>
        <w:t xml:space="preserve"> the risks associated with</w:t>
      </w:r>
      <w:r w:rsidRPr="007B3E3A">
        <w:rPr>
          <w:szCs w:val="24"/>
        </w:rPr>
        <w:t xml:space="preserve"> possible ingestion, inhalation, or dermal contact with the soils and/or groundwater.</w:t>
      </w:r>
    </w:p>
    <w:p w:rsidR="00272339" w:rsidRPr="007B3E3A" w:rsidRDefault="00272339" w:rsidP="00272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72339" w:rsidRPr="007B3E3A" w:rsidRDefault="00272339" w:rsidP="00272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7B3E3A">
        <w:rPr>
          <w:szCs w:val="24"/>
        </w:rPr>
        <w:t xml:space="preserve">The </w:t>
      </w:r>
      <w:r w:rsidR="00003E10">
        <w:rPr>
          <w:szCs w:val="24"/>
        </w:rPr>
        <w:t xml:space="preserve">COCs </w:t>
      </w:r>
      <w:r w:rsidRPr="007B3E3A">
        <w:rPr>
          <w:szCs w:val="24"/>
        </w:rPr>
        <w:t xml:space="preserve">in the soil </w:t>
      </w:r>
      <w:r w:rsidR="00F31F0F">
        <w:rPr>
          <w:szCs w:val="24"/>
        </w:rPr>
        <w:t xml:space="preserve">at the site </w:t>
      </w:r>
      <w:r w:rsidRPr="007B3E3A">
        <w:rPr>
          <w:szCs w:val="24"/>
        </w:rPr>
        <w:t xml:space="preserve">were determined to be cadmium, chromium, nickel, barium, lead, copper, arsenic, trichloroethene (TCE), bis (2-ethylhexyl) phthalate, and chrysene. The </w:t>
      </w:r>
      <w:r w:rsidR="00003E10">
        <w:rPr>
          <w:szCs w:val="24"/>
        </w:rPr>
        <w:t>COCs</w:t>
      </w:r>
      <w:r w:rsidRPr="007B3E3A">
        <w:rPr>
          <w:szCs w:val="24"/>
        </w:rPr>
        <w:t xml:space="preserve"> in the groundwater were identified as TCE, 1,1,1-trichloroethane, 1,1-dichloroethene, tetrachloroethene (PCE)</w:t>
      </w:r>
      <w:r w:rsidR="003065E1" w:rsidRPr="007B3E3A">
        <w:rPr>
          <w:szCs w:val="24"/>
        </w:rPr>
        <w:t>, TCE</w:t>
      </w:r>
      <w:r w:rsidRPr="007B3E3A">
        <w:rPr>
          <w:szCs w:val="24"/>
        </w:rPr>
        <w:t>, cadmium, chromium, copper, lead, and nickel.</w:t>
      </w:r>
    </w:p>
    <w:p w:rsidR="00272339" w:rsidRPr="007B3E3A" w:rsidRDefault="00272339" w:rsidP="00272339">
      <w:pPr>
        <w:jc w:val="both"/>
        <w:rPr>
          <w:szCs w:val="24"/>
        </w:rPr>
      </w:pPr>
    </w:p>
    <w:p w:rsidR="00997E23" w:rsidRPr="007B3E3A" w:rsidRDefault="00003E10" w:rsidP="00272339">
      <w:pPr>
        <w:jc w:val="both"/>
        <w:rPr>
          <w:szCs w:val="24"/>
        </w:rPr>
      </w:pPr>
      <w:r>
        <w:rPr>
          <w:szCs w:val="24"/>
        </w:rPr>
        <w:t>Following the completion of a Feasibility Study (FS)</w:t>
      </w:r>
      <w:r w:rsidR="00E33EFD">
        <w:rPr>
          <w:szCs w:val="24"/>
        </w:rPr>
        <w:t xml:space="preserve"> which evaluated alternatives for cleaning up contamination at the Facility</w:t>
      </w:r>
      <w:r>
        <w:rPr>
          <w:szCs w:val="24"/>
        </w:rPr>
        <w:t>, a</w:t>
      </w:r>
      <w:r w:rsidR="0034300D" w:rsidRPr="007B3E3A">
        <w:rPr>
          <w:szCs w:val="24"/>
        </w:rPr>
        <w:t xml:space="preserve"> remedy was selected for the Site, which was documented in the 1991 </w:t>
      </w:r>
      <w:r w:rsidR="0034300D" w:rsidRPr="007B3E3A">
        <w:rPr>
          <w:szCs w:val="24"/>
        </w:rPr>
        <w:t>ROD.</w:t>
      </w:r>
      <w:r w:rsidR="00272339" w:rsidRPr="007B3E3A">
        <w:rPr>
          <w:szCs w:val="24"/>
        </w:rPr>
        <w:t xml:space="preserve">  </w:t>
      </w:r>
      <w:r w:rsidR="00997E23" w:rsidRPr="007B3E3A">
        <w:rPr>
          <w:rFonts w:eastAsiaTheme="minorHAnsi"/>
          <w:szCs w:val="24"/>
        </w:rPr>
        <w:t>The selected remedy</w:t>
      </w:r>
      <w:r w:rsidR="00DF134B" w:rsidRPr="007B3E3A">
        <w:rPr>
          <w:rFonts w:eastAsiaTheme="minorHAnsi"/>
          <w:szCs w:val="24"/>
        </w:rPr>
        <w:t>, identified as the operable unit 1 (OU1) remedy,</w:t>
      </w:r>
      <w:r w:rsidR="00997E23" w:rsidRPr="007B3E3A">
        <w:rPr>
          <w:rFonts w:eastAsiaTheme="minorHAnsi"/>
          <w:szCs w:val="24"/>
        </w:rPr>
        <w:t xml:space="preserve"> included:</w:t>
      </w:r>
    </w:p>
    <w:p w:rsidR="00997E23" w:rsidRPr="007B3E3A" w:rsidRDefault="00997E23" w:rsidP="00997E23">
      <w:pPr>
        <w:autoSpaceDE w:val="0"/>
        <w:autoSpaceDN w:val="0"/>
        <w:adjustRightInd w:val="0"/>
        <w:rPr>
          <w:rFonts w:eastAsia="SymbolMT"/>
          <w:szCs w:val="24"/>
        </w:rPr>
      </w:pPr>
    </w:p>
    <w:p w:rsidR="00997E23" w:rsidRPr="007B3E3A" w:rsidRDefault="00997E23" w:rsidP="00997E23">
      <w:pPr>
        <w:pStyle w:val="ListParagraph"/>
        <w:numPr>
          <w:ilvl w:val="0"/>
          <w:numId w:val="1"/>
        </w:numPr>
        <w:autoSpaceDE w:val="0"/>
        <w:autoSpaceDN w:val="0"/>
        <w:adjustRightInd w:val="0"/>
        <w:rPr>
          <w:rFonts w:eastAsiaTheme="minorHAnsi"/>
          <w:szCs w:val="24"/>
        </w:rPr>
      </w:pPr>
      <w:r w:rsidRPr="007B3E3A">
        <w:rPr>
          <w:rFonts w:eastAsiaTheme="minorHAnsi"/>
          <w:szCs w:val="24"/>
        </w:rPr>
        <w:t>Soil vapor extraction</w:t>
      </w:r>
      <w:r w:rsidR="00714B35">
        <w:rPr>
          <w:rFonts w:eastAsiaTheme="minorHAnsi"/>
          <w:szCs w:val="24"/>
        </w:rPr>
        <w:t xml:space="preserve"> (SVE)</w:t>
      </w:r>
      <w:r w:rsidRPr="007B3E3A">
        <w:rPr>
          <w:rFonts w:eastAsiaTheme="minorHAnsi"/>
          <w:szCs w:val="24"/>
        </w:rPr>
        <w:t xml:space="preserve"> to address organic contaminants in subsurface soils;</w:t>
      </w:r>
    </w:p>
    <w:p w:rsidR="00997E23" w:rsidRPr="007B3E3A" w:rsidRDefault="00997E23" w:rsidP="00997E23">
      <w:pPr>
        <w:pStyle w:val="ListParagraph"/>
        <w:numPr>
          <w:ilvl w:val="0"/>
          <w:numId w:val="1"/>
        </w:numPr>
        <w:autoSpaceDE w:val="0"/>
        <w:autoSpaceDN w:val="0"/>
        <w:adjustRightInd w:val="0"/>
        <w:rPr>
          <w:rFonts w:eastAsiaTheme="minorHAnsi"/>
          <w:szCs w:val="24"/>
        </w:rPr>
      </w:pPr>
      <w:r w:rsidRPr="007B3E3A">
        <w:rPr>
          <w:rFonts w:eastAsiaTheme="minorHAnsi"/>
          <w:szCs w:val="24"/>
        </w:rPr>
        <w:t>Excavation of surface soils and leaching pits;</w:t>
      </w:r>
    </w:p>
    <w:p w:rsidR="00997E23" w:rsidRPr="007B3E3A" w:rsidRDefault="00997E23" w:rsidP="00997E23">
      <w:pPr>
        <w:pStyle w:val="ListParagraph"/>
        <w:numPr>
          <w:ilvl w:val="0"/>
          <w:numId w:val="1"/>
        </w:numPr>
        <w:autoSpaceDE w:val="0"/>
        <w:autoSpaceDN w:val="0"/>
        <w:adjustRightInd w:val="0"/>
        <w:rPr>
          <w:rFonts w:eastAsiaTheme="minorHAnsi"/>
          <w:szCs w:val="24"/>
        </w:rPr>
      </w:pPr>
      <w:r w:rsidRPr="007B3E3A">
        <w:rPr>
          <w:rFonts w:eastAsiaTheme="minorHAnsi"/>
          <w:szCs w:val="24"/>
        </w:rPr>
        <w:t>Extraction, treatment</w:t>
      </w:r>
      <w:r w:rsidR="00982F2B" w:rsidRPr="007B3E3A">
        <w:rPr>
          <w:rFonts w:eastAsiaTheme="minorHAnsi"/>
          <w:szCs w:val="24"/>
        </w:rPr>
        <w:t>,</w:t>
      </w:r>
      <w:r w:rsidRPr="007B3E3A">
        <w:rPr>
          <w:rFonts w:eastAsiaTheme="minorHAnsi"/>
          <w:szCs w:val="24"/>
        </w:rPr>
        <w:t xml:space="preserve"> and reinjection of contaminated groundwater; and</w:t>
      </w:r>
    </w:p>
    <w:p w:rsidR="00997E23" w:rsidRDefault="00997E23" w:rsidP="00997E23">
      <w:pPr>
        <w:pStyle w:val="ListParagraph"/>
        <w:numPr>
          <w:ilvl w:val="0"/>
          <w:numId w:val="1"/>
        </w:numPr>
        <w:autoSpaceDE w:val="0"/>
        <w:autoSpaceDN w:val="0"/>
        <w:adjustRightInd w:val="0"/>
        <w:rPr>
          <w:rFonts w:eastAsiaTheme="minorHAnsi"/>
          <w:szCs w:val="24"/>
        </w:rPr>
      </w:pPr>
      <w:r w:rsidRPr="007B3E3A">
        <w:rPr>
          <w:rFonts w:eastAsiaTheme="minorHAnsi"/>
          <w:szCs w:val="24"/>
        </w:rPr>
        <w:t>Investigation and determination of the need for groundwater response actions downgradient of the Site</w:t>
      </w:r>
      <w:r w:rsidR="00003E10">
        <w:rPr>
          <w:rFonts w:eastAsiaTheme="minorHAnsi"/>
          <w:szCs w:val="24"/>
        </w:rPr>
        <w:t xml:space="preserve"> (OU2</w:t>
      </w:r>
      <w:r w:rsidR="00E33EFD">
        <w:rPr>
          <w:rFonts w:eastAsiaTheme="minorHAnsi"/>
          <w:szCs w:val="24"/>
        </w:rPr>
        <w:t xml:space="preserve"> RI/FS</w:t>
      </w:r>
      <w:r w:rsidR="00003E10">
        <w:rPr>
          <w:rFonts w:eastAsiaTheme="minorHAnsi"/>
          <w:szCs w:val="24"/>
        </w:rPr>
        <w:t>)</w:t>
      </w:r>
      <w:r w:rsidRPr="007B3E3A">
        <w:rPr>
          <w:rFonts w:eastAsiaTheme="minorHAnsi"/>
          <w:szCs w:val="24"/>
        </w:rPr>
        <w:t>.</w:t>
      </w:r>
    </w:p>
    <w:p w:rsidR="00003E10" w:rsidRPr="007B3E3A" w:rsidRDefault="00003E10" w:rsidP="00003E10">
      <w:pPr>
        <w:pStyle w:val="ListParagraph"/>
        <w:autoSpaceDE w:val="0"/>
        <w:autoSpaceDN w:val="0"/>
        <w:adjustRightInd w:val="0"/>
        <w:rPr>
          <w:rFonts w:eastAsiaTheme="minorHAnsi"/>
          <w:szCs w:val="24"/>
        </w:rPr>
      </w:pPr>
    </w:p>
    <w:p w:rsidR="00FA01B8" w:rsidRDefault="00FA01B8" w:rsidP="00997E23">
      <w:pPr>
        <w:autoSpaceDE w:val="0"/>
        <w:autoSpaceDN w:val="0"/>
        <w:adjustRightInd w:val="0"/>
        <w:rPr>
          <w:rFonts w:eastAsiaTheme="minorHAnsi"/>
          <w:szCs w:val="24"/>
        </w:rPr>
      </w:pPr>
      <w:r w:rsidRPr="007B3E3A">
        <w:rPr>
          <w:rFonts w:eastAsiaTheme="minorHAnsi"/>
          <w:szCs w:val="24"/>
        </w:rPr>
        <w:t xml:space="preserve">The selected groundwater remedy was an interim remedy that did not constitute the final remedy for the Site.  </w:t>
      </w:r>
    </w:p>
    <w:p w:rsidR="00003E10" w:rsidRPr="007B3E3A" w:rsidRDefault="00003E10" w:rsidP="00997E23">
      <w:pPr>
        <w:autoSpaceDE w:val="0"/>
        <w:autoSpaceDN w:val="0"/>
        <w:adjustRightInd w:val="0"/>
        <w:rPr>
          <w:rFonts w:eastAsiaTheme="minorHAnsi"/>
          <w:szCs w:val="24"/>
        </w:rPr>
      </w:pPr>
    </w:p>
    <w:p w:rsidR="0025328C" w:rsidRPr="007B3E3A" w:rsidRDefault="00421C86" w:rsidP="00436B39">
      <w:pPr>
        <w:jc w:val="both"/>
        <w:rPr>
          <w:szCs w:val="24"/>
        </w:rPr>
      </w:pPr>
      <w:r w:rsidRPr="007B3E3A">
        <w:rPr>
          <w:szCs w:val="24"/>
        </w:rPr>
        <w:t>In September 1995, following the</w:t>
      </w:r>
      <w:r w:rsidR="00003E10">
        <w:rPr>
          <w:szCs w:val="24"/>
        </w:rPr>
        <w:t xml:space="preserve"> completion of the RI/FS</w:t>
      </w:r>
      <w:r w:rsidRPr="007B3E3A">
        <w:rPr>
          <w:szCs w:val="24"/>
        </w:rPr>
        <w:t xml:space="preserve"> for OU2, EPA issued a </w:t>
      </w:r>
      <w:r w:rsidR="00E33EFD">
        <w:rPr>
          <w:szCs w:val="24"/>
        </w:rPr>
        <w:t xml:space="preserve">second </w:t>
      </w:r>
      <w:r w:rsidRPr="007B3E3A">
        <w:rPr>
          <w:szCs w:val="24"/>
        </w:rPr>
        <w:t>ROD (1995 ROD)</w:t>
      </w:r>
      <w:r w:rsidR="00E33EFD">
        <w:rPr>
          <w:szCs w:val="24"/>
        </w:rPr>
        <w:t xml:space="preserve"> for the groundwater</w:t>
      </w:r>
      <w:r w:rsidRPr="007B3E3A">
        <w:rPr>
          <w:szCs w:val="24"/>
        </w:rPr>
        <w:t xml:space="preserve">, in which EPA determined that no </w:t>
      </w:r>
      <w:r w:rsidR="00DF134B" w:rsidRPr="007B3E3A">
        <w:rPr>
          <w:szCs w:val="24"/>
        </w:rPr>
        <w:t>further</w:t>
      </w:r>
      <w:r w:rsidRPr="007B3E3A">
        <w:rPr>
          <w:szCs w:val="24"/>
        </w:rPr>
        <w:t xml:space="preserve"> remedial action </w:t>
      </w:r>
      <w:r w:rsidR="00E33EFD">
        <w:rPr>
          <w:szCs w:val="24"/>
        </w:rPr>
        <w:t xml:space="preserve">beyond that already required by the 1991 ROD </w:t>
      </w:r>
      <w:r w:rsidRPr="007B3E3A">
        <w:rPr>
          <w:szCs w:val="24"/>
        </w:rPr>
        <w:t>was necessary</w:t>
      </w:r>
      <w:r w:rsidR="00850B23" w:rsidRPr="007B3E3A">
        <w:rPr>
          <w:szCs w:val="24"/>
        </w:rPr>
        <w:t xml:space="preserve"> to protect human health and the environment</w:t>
      </w:r>
      <w:r w:rsidRPr="007B3E3A">
        <w:rPr>
          <w:szCs w:val="24"/>
        </w:rPr>
        <w:t xml:space="preserve"> at the Site</w:t>
      </w:r>
      <w:r w:rsidR="00850B23" w:rsidRPr="007B3E3A">
        <w:rPr>
          <w:szCs w:val="24"/>
        </w:rPr>
        <w:t xml:space="preserve">.  </w:t>
      </w:r>
    </w:p>
    <w:p w:rsidR="00F97A89" w:rsidRPr="007B3E3A" w:rsidRDefault="00F97A89" w:rsidP="00436B39">
      <w:pPr>
        <w:jc w:val="both"/>
        <w:rPr>
          <w:szCs w:val="24"/>
        </w:rPr>
      </w:pPr>
    </w:p>
    <w:p w:rsidR="007C1185" w:rsidRDefault="00E33EFD" w:rsidP="00436B39">
      <w:pPr>
        <w:jc w:val="both"/>
        <w:rPr>
          <w:szCs w:val="24"/>
        </w:rPr>
      </w:pPr>
      <w:r>
        <w:rPr>
          <w:szCs w:val="24"/>
        </w:rPr>
        <w:t xml:space="preserve">The remedial actions </w:t>
      </w:r>
      <w:r w:rsidR="0076688D" w:rsidRPr="007B3E3A">
        <w:rPr>
          <w:szCs w:val="24"/>
        </w:rPr>
        <w:t xml:space="preserve">called for in the 1991 ROD have been constructed. The SVE treatment of contaminated soils was completed in 1996, </w:t>
      </w:r>
      <w:r w:rsidR="0076688D" w:rsidRPr="00F936A7">
        <w:rPr>
          <w:szCs w:val="24"/>
        </w:rPr>
        <w:t xml:space="preserve">followed by the excavation of </w:t>
      </w:r>
      <w:r w:rsidR="0076688D" w:rsidRPr="009B650A">
        <w:rPr>
          <w:szCs w:val="24"/>
        </w:rPr>
        <w:t>leaching pits and soils in 1997</w:t>
      </w:r>
      <w:r w:rsidR="0076688D" w:rsidRPr="00974212">
        <w:rPr>
          <w:szCs w:val="24"/>
        </w:rPr>
        <w:t>;</w:t>
      </w:r>
      <w:r w:rsidR="0076688D" w:rsidRPr="007B3E3A">
        <w:rPr>
          <w:szCs w:val="24"/>
        </w:rPr>
        <w:t xml:space="preserve"> the groundwater extraction and treatment system was constructed in 2005.</w:t>
      </w:r>
      <w:r>
        <w:rPr>
          <w:szCs w:val="24"/>
        </w:rPr>
        <w:t xml:space="preserve"> </w:t>
      </w:r>
      <w:r w:rsidR="0076688D" w:rsidRPr="007B3E3A">
        <w:rPr>
          <w:szCs w:val="24"/>
        </w:rPr>
        <w:t>However, additional contamination found in the soils at the Site</w:t>
      </w:r>
      <w:r>
        <w:rPr>
          <w:szCs w:val="24"/>
        </w:rPr>
        <w:t xml:space="preserve"> resulted in additional remedial activities</w:t>
      </w:r>
      <w:r w:rsidR="0076688D" w:rsidRPr="007B3E3A">
        <w:rPr>
          <w:szCs w:val="24"/>
        </w:rPr>
        <w:t xml:space="preserve">. </w:t>
      </w:r>
      <w:r w:rsidR="005C19B6" w:rsidRPr="007B3E3A">
        <w:rPr>
          <w:szCs w:val="24"/>
        </w:rPr>
        <w:t xml:space="preserve">In </w:t>
      </w:r>
      <w:r w:rsidR="00686B94">
        <w:rPr>
          <w:szCs w:val="24"/>
        </w:rPr>
        <w:t>May 2000, EPA performed</w:t>
      </w:r>
      <w:r w:rsidR="00F97A89" w:rsidRPr="007B3E3A">
        <w:rPr>
          <w:szCs w:val="24"/>
        </w:rPr>
        <w:t xml:space="preserve"> sampling of the soil and groundw</w:t>
      </w:r>
      <w:r w:rsidR="00DF7921" w:rsidRPr="007B3E3A">
        <w:rPr>
          <w:szCs w:val="24"/>
        </w:rPr>
        <w:t>ater underlying the vacant Facility</w:t>
      </w:r>
      <w:r w:rsidR="00F97A89" w:rsidRPr="007B3E3A">
        <w:rPr>
          <w:szCs w:val="24"/>
        </w:rPr>
        <w:t xml:space="preserve"> building. </w:t>
      </w:r>
      <w:r w:rsidR="00C21DDC" w:rsidRPr="007B3E3A">
        <w:rPr>
          <w:szCs w:val="24"/>
        </w:rPr>
        <w:t xml:space="preserve">The sampling data </w:t>
      </w:r>
      <w:r w:rsidR="00F97A89" w:rsidRPr="007B3E3A">
        <w:rPr>
          <w:szCs w:val="24"/>
        </w:rPr>
        <w:t>indicated elevated concentrations of chro</w:t>
      </w:r>
      <w:r w:rsidR="004377E1" w:rsidRPr="007B3E3A">
        <w:rPr>
          <w:szCs w:val="24"/>
        </w:rPr>
        <w:t>miu</w:t>
      </w:r>
      <w:r w:rsidR="00C21DDC" w:rsidRPr="007B3E3A">
        <w:rPr>
          <w:szCs w:val="24"/>
        </w:rPr>
        <w:t>m, hexavalent chromium, and PCE in the soil at the Site.</w:t>
      </w:r>
      <w:r w:rsidR="004377E1" w:rsidRPr="007B3E3A">
        <w:rPr>
          <w:szCs w:val="24"/>
        </w:rPr>
        <w:t xml:space="preserve"> EPA initiated a time-critical removal action, which included the installation of </w:t>
      </w:r>
      <w:r w:rsidR="0076688D" w:rsidRPr="007B3E3A">
        <w:rPr>
          <w:szCs w:val="24"/>
        </w:rPr>
        <w:t xml:space="preserve">another </w:t>
      </w:r>
      <w:r w:rsidR="004377E1" w:rsidRPr="007B3E3A">
        <w:rPr>
          <w:szCs w:val="24"/>
        </w:rPr>
        <w:t xml:space="preserve">SVE system at the Site.  </w:t>
      </w:r>
      <w:r w:rsidR="00C22E88" w:rsidRPr="007B3E3A">
        <w:rPr>
          <w:szCs w:val="24"/>
        </w:rPr>
        <w:t>In 2003, EPA conducted vapor intrusion sampling at the Site and surrounding residences. Based on the results of this sampling activity, EPA installed indoor air treatment systems</w:t>
      </w:r>
      <w:r w:rsidR="00452DE9" w:rsidRPr="007B3E3A">
        <w:rPr>
          <w:szCs w:val="24"/>
        </w:rPr>
        <w:t xml:space="preserve"> in three </w:t>
      </w:r>
      <w:r w:rsidR="004377E1" w:rsidRPr="007B3E3A">
        <w:rPr>
          <w:szCs w:val="24"/>
        </w:rPr>
        <w:t>homes</w:t>
      </w:r>
      <w:r w:rsidR="00C22E88" w:rsidRPr="007B3E3A">
        <w:rPr>
          <w:szCs w:val="24"/>
        </w:rPr>
        <w:t>, as well as a</w:t>
      </w:r>
      <w:r w:rsidR="004377E1" w:rsidRPr="007B3E3A">
        <w:rPr>
          <w:szCs w:val="24"/>
        </w:rPr>
        <w:t>n additional</w:t>
      </w:r>
      <w:r w:rsidR="00C22E88" w:rsidRPr="007B3E3A">
        <w:rPr>
          <w:szCs w:val="24"/>
        </w:rPr>
        <w:t xml:space="preserve"> </w:t>
      </w:r>
      <w:r w:rsidR="004377E1" w:rsidRPr="007B3E3A">
        <w:rPr>
          <w:szCs w:val="24"/>
        </w:rPr>
        <w:t>SVE</w:t>
      </w:r>
      <w:r w:rsidR="00C22E88" w:rsidRPr="007B3E3A">
        <w:rPr>
          <w:szCs w:val="24"/>
        </w:rPr>
        <w:t xml:space="preserve"> system at the Site</w:t>
      </w:r>
      <w:r w:rsidR="0079108D">
        <w:rPr>
          <w:szCs w:val="24"/>
        </w:rPr>
        <w:t xml:space="preserve"> </w:t>
      </w:r>
      <w:r w:rsidR="0079108D">
        <w:rPr>
          <w:szCs w:val="24"/>
        </w:rPr>
        <w:t>(see Figure 1)</w:t>
      </w:r>
      <w:r w:rsidR="00452DE9" w:rsidRPr="00351995">
        <w:rPr>
          <w:szCs w:val="24"/>
        </w:rPr>
        <w:t xml:space="preserve">. </w:t>
      </w:r>
      <w:r w:rsidR="007C1185" w:rsidRPr="00351995">
        <w:rPr>
          <w:szCs w:val="24"/>
        </w:rPr>
        <w:t>These systems were operated until the contaminant levels were reduced below health-based standards</w:t>
      </w:r>
      <w:r w:rsidR="00DC62AF">
        <w:rPr>
          <w:szCs w:val="24"/>
        </w:rPr>
        <w:t>.  The treatment systems have been removed and no further action is required with respect to vapor intrusion</w:t>
      </w:r>
      <w:r w:rsidR="007C1185" w:rsidRPr="00351995">
        <w:rPr>
          <w:szCs w:val="24"/>
        </w:rPr>
        <w:t>.</w:t>
      </w:r>
    </w:p>
    <w:p w:rsidR="007C1185" w:rsidRDefault="007C1185" w:rsidP="00436B39">
      <w:pPr>
        <w:jc w:val="both"/>
        <w:rPr>
          <w:szCs w:val="24"/>
        </w:rPr>
      </w:pPr>
    </w:p>
    <w:p w:rsidR="005B5136" w:rsidRPr="007B3E3A" w:rsidRDefault="00452DE9" w:rsidP="00436B39">
      <w:pPr>
        <w:jc w:val="both"/>
        <w:rPr>
          <w:szCs w:val="24"/>
        </w:rPr>
      </w:pPr>
      <w:r w:rsidRPr="007B3E3A">
        <w:rPr>
          <w:szCs w:val="24"/>
        </w:rPr>
        <w:t xml:space="preserve">While </w:t>
      </w:r>
      <w:r w:rsidR="004377E1" w:rsidRPr="007B3E3A">
        <w:rPr>
          <w:szCs w:val="24"/>
        </w:rPr>
        <w:t>evaluating the</w:t>
      </w:r>
      <w:r w:rsidRPr="007B3E3A">
        <w:rPr>
          <w:szCs w:val="24"/>
        </w:rPr>
        <w:t xml:space="preserve"> effectiveness of the SVE system, EPA ide</w:t>
      </w:r>
      <w:r w:rsidR="00686B94">
        <w:rPr>
          <w:szCs w:val="24"/>
        </w:rPr>
        <w:t xml:space="preserve">ntified an area of recalcitrant </w:t>
      </w:r>
      <w:r w:rsidRPr="007B3E3A">
        <w:rPr>
          <w:szCs w:val="24"/>
        </w:rPr>
        <w:t xml:space="preserve">contamination. Upon further investigation, a </w:t>
      </w:r>
      <w:r w:rsidR="00B07447" w:rsidRPr="007B3E3A">
        <w:rPr>
          <w:szCs w:val="24"/>
        </w:rPr>
        <w:t>water production well</w:t>
      </w:r>
      <w:r w:rsidR="00DF7921" w:rsidRPr="007B3E3A">
        <w:rPr>
          <w:szCs w:val="24"/>
        </w:rPr>
        <w:t>, initially believed to be a buried tank,</w:t>
      </w:r>
      <w:r w:rsidR="00B07447" w:rsidRPr="007B3E3A">
        <w:rPr>
          <w:szCs w:val="24"/>
        </w:rPr>
        <w:t xml:space="preserve"> was located behind the former process building at the Site. In July 2004, an ESD </w:t>
      </w:r>
      <w:r w:rsidRPr="007B3E3A">
        <w:rPr>
          <w:szCs w:val="24"/>
        </w:rPr>
        <w:t>was issued that called for the exca</w:t>
      </w:r>
      <w:r w:rsidR="00B07447" w:rsidRPr="007B3E3A">
        <w:rPr>
          <w:szCs w:val="24"/>
        </w:rPr>
        <w:t>vation of the</w:t>
      </w:r>
      <w:r w:rsidRPr="007B3E3A">
        <w:rPr>
          <w:szCs w:val="24"/>
        </w:rPr>
        <w:t xml:space="preserve"> </w:t>
      </w:r>
      <w:r w:rsidR="00DF7921" w:rsidRPr="007B3E3A">
        <w:rPr>
          <w:szCs w:val="24"/>
        </w:rPr>
        <w:t xml:space="preserve">well, referred to in the ESD as a </w:t>
      </w:r>
      <w:r w:rsidR="00B07447" w:rsidRPr="007B3E3A">
        <w:rPr>
          <w:szCs w:val="24"/>
        </w:rPr>
        <w:t>“</w:t>
      </w:r>
      <w:r w:rsidRPr="007B3E3A">
        <w:rPr>
          <w:szCs w:val="24"/>
        </w:rPr>
        <w:t>buried tank</w:t>
      </w:r>
      <w:r w:rsidR="00E33EFD">
        <w:rPr>
          <w:szCs w:val="24"/>
        </w:rPr>
        <w:t xml:space="preserve">.” </w:t>
      </w:r>
      <w:r w:rsidR="00B07447" w:rsidRPr="007B3E3A">
        <w:rPr>
          <w:szCs w:val="24"/>
        </w:rPr>
        <w:t>EPA remobilized to the Site in February 2005 to remove the water production well</w:t>
      </w:r>
      <w:r w:rsidR="005B5136" w:rsidRPr="007B3E3A">
        <w:rPr>
          <w:szCs w:val="24"/>
        </w:rPr>
        <w:t xml:space="preserve">, as well as a portion </w:t>
      </w:r>
      <w:r w:rsidR="00B07447" w:rsidRPr="007B3E3A">
        <w:rPr>
          <w:szCs w:val="24"/>
        </w:rPr>
        <w:t xml:space="preserve">of the remaining building foundation. </w:t>
      </w:r>
      <w:r w:rsidR="005B5136" w:rsidRPr="007B3E3A">
        <w:rPr>
          <w:szCs w:val="24"/>
        </w:rPr>
        <w:t>Certain areas of the</w:t>
      </w:r>
      <w:r w:rsidR="00B07447" w:rsidRPr="007B3E3A">
        <w:rPr>
          <w:szCs w:val="24"/>
        </w:rPr>
        <w:t xml:space="preserve"> building foundation were left in place due to</w:t>
      </w:r>
      <w:r w:rsidR="00982F2B" w:rsidRPr="007B3E3A">
        <w:rPr>
          <w:szCs w:val="24"/>
        </w:rPr>
        <w:t xml:space="preserve"> their</w:t>
      </w:r>
      <w:r w:rsidR="00B07447" w:rsidRPr="007B3E3A">
        <w:rPr>
          <w:szCs w:val="24"/>
        </w:rPr>
        <w:t xml:space="preserve"> proximity to an adjoining residential property and concerns that the removal of the foundation could compromise the adjacent </w:t>
      </w:r>
      <w:r w:rsidR="005B5136" w:rsidRPr="007B3E3A">
        <w:rPr>
          <w:szCs w:val="24"/>
        </w:rPr>
        <w:t xml:space="preserve">structures. These remaining portions of the building foundation were determined to be non-hazardous. </w:t>
      </w:r>
    </w:p>
    <w:p w:rsidR="0007781C" w:rsidRPr="007B3E3A" w:rsidRDefault="0007781C" w:rsidP="00436B39">
      <w:pPr>
        <w:jc w:val="both"/>
        <w:rPr>
          <w:szCs w:val="24"/>
        </w:rPr>
      </w:pPr>
    </w:p>
    <w:p w:rsidR="0007781C" w:rsidRPr="007B3E3A" w:rsidRDefault="0076688D" w:rsidP="0007781C">
      <w:pPr>
        <w:jc w:val="both"/>
        <w:rPr>
          <w:szCs w:val="24"/>
        </w:rPr>
      </w:pPr>
      <w:r w:rsidRPr="007B3E3A">
        <w:rPr>
          <w:szCs w:val="24"/>
        </w:rPr>
        <w:t>As noted above, the groundwater treatment system was constructed and began operating in 2005. In</w:t>
      </w:r>
      <w:r w:rsidR="0007781C" w:rsidRPr="007B3E3A">
        <w:rPr>
          <w:szCs w:val="24"/>
        </w:rPr>
        <w:t xml:space="preserve"> 2010, a remedial system evaluation (RSE) </w:t>
      </w:r>
      <w:r w:rsidRPr="007B3E3A">
        <w:rPr>
          <w:szCs w:val="24"/>
        </w:rPr>
        <w:t>of the groundwater treatment system was undertaken</w:t>
      </w:r>
      <w:r w:rsidR="0007781C" w:rsidRPr="007B3E3A">
        <w:rPr>
          <w:szCs w:val="24"/>
        </w:rPr>
        <w:t xml:space="preserve">. </w:t>
      </w:r>
      <w:r w:rsidR="00E33EFD">
        <w:rPr>
          <w:szCs w:val="24"/>
        </w:rPr>
        <w:t xml:space="preserve">The RSE resulted in pilot studies intended to enhance system operations. </w:t>
      </w:r>
      <w:r w:rsidR="00E3086D" w:rsidRPr="007B3E3A">
        <w:rPr>
          <w:szCs w:val="24"/>
        </w:rPr>
        <w:t>The Genzale</w:t>
      </w:r>
      <w:r w:rsidR="00E33EFD">
        <w:rPr>
          <w:szCs w:val="24"/>
        </w:rPr>
        <w:t xml:space="preserve"> </w:t>
      </w:r>
      <w:r w:rsidR="00E3086D" w:rsidRPr="007B3E3A">
        <w:rPr>
          <w:szCs w:val="24"/>
        </w:rPr>
        <w:t xml:space="preserve">Plating </w:t>
      </w:r>
      <w:r w:rsidR="00B2659B" w:rsidRPr="007B3E3A">
        <w:rPr>
          <w:szCs w:val="24"/>
        </w:rPr>
        <w:t>groundwater treatment system</w:t>
      </w:r>
      <w:r w:rsidR="00E3086D" w:rsidRPr="007B3E3A">
        <w:rPr>
          <w:szCs w:val="24"/>
        </w:rPr>
        <w:t xml:space="preserve"> operations were </w:t>
      </w:r>
      <w:r w:rsidR="00B2659B" w:rsidRPr="007B3E3A">
        <w:rPr>
          <w:szCs w:val="24"/>
        </w:rPr>
        <w:t>performed</w:t>
      </w:r>
      <w:r w:rsidR="005C19B6" w:rsidRPr="007B3E3A">
        <w:rPr>
          <w:szCs w:val="24"/>
        </w:rPr>
        <w:t xml:space="preserve"> by EPA</w:t>
      </w:r>
      <w:r w:rsidR="00E3086D" w:rsidRPr="007B3E3A">
        <w:rPr>
          <w:szCs w:val="24"/>
        </w:rPr>
        <w:t xml:space="preserve"> for ten years as a Long</w:t>
      </w:r>
      <w:r w:rsidR="00DC62AF">
        <w:rPr>
          <w:szCs w:val="24"/>
        </w:rPr>
        <w:t>-</w:t>
      </w:r>
      <w:r w:rsidR="00E3086D" w:rsidRPr="007B3E3A">
        <w:rPr>
          <w:szCs w:val="24"/>
        </w:rPr>
        <w:t>Term Remedial Action</w:t>
      </w:r>
      <w:r w:rsidR="00DC3573" w:rsidRPr="007B3E3A">
        <w:rPr>
          <w:szCs w:val="24"/>
        </w:rPr>
        <w:t xml:space="preserve"> (LTRA).</w:t>
      </w:r>
      <w:r w:rsidR="005C19B6" w:rsidRPr="007B3E3A">
        <w:rPr>
          <w:szCs w:val="24"/>
        </w:rPr>
        <w:t xml:space="preserve"> </w:t>
      </w:r>
      <w:r w:rsidR="00B2659B" w:rsidRPr="007B3E3A">
        <w:rPr>
          <w:szCs w:val="24"/>
        </w:rPr>
        <w:t>In September 2016, EPA completed its LTRA activities and transfer</w:t>
      </w:r>
      <w:r w:rsidR="00974212">
        <w:rPr>
          <w:szCs w:val="24"/>
        </w:rPr>
        <w:t>red</w:t>
      </w:r>
      <w:r w:rsidR="00B2659B" w:rsidRPr="007B3E3A">
        <w:rPr>
          <w:szCs w:val="24"/>
        </w:rPr>
        <w:t xml:space="preserve"> t</w:t>
      </w:r>
      <w:r w:rsidR="005C19B6" w:rsidRPr="007B3E3A">
        <w:rPr>
          <w:szCs w:val="24"/>
        </w:rPr>
        <w:t>he responsibility for</w:t>
      </w:r>
      <w:r w:rsidR="00DC3573" w:rsidRPr="007B3E3A">
        <w:rPr>
          <w:szCs w:val="24"/>
        </w:rPr>
        <w:t xml:space="preserve"> </w:t>
      </w:r>
      <w:r w:rsidR="00B2659B" w:rsidRPr="007B3E3A">
        <w:rPr>
          <w:szCs w:val="24"/>
        </w:rPr>
        <w:t>o</w:t>
      </w:r>
      <w:r w:rsidR="00DC3573" w:rsidRPr="007B3E3A">
        <w:rPr>
          <w:szCs w:val="24"/>
        </w:rPr>
        <w:t xml:space="preserve">peration and </w:t>
      </w:r>
      <w:r w:rsidR="0096459E" w:rsidRPr="007B3E3A">
        <w:rPr>
          <w:szCs w:val="24"/>
        </w:rPr>
        <w:t>m</w:t>
      </w:r>
      <w:r w:rsidR="00DC3573" w:rsidRPr="007B3E3A">
        <w:rPr>
          <w:szCs w:val="24"/>
        </w:rPr>
        <w:t xml:space="preserve">aintenance of the system to the State of New York.  </w:t>
      </w:r>
    </w:p>
    <w:p w:rsidR="0007781C" w:rsidRPr="007B3E3A" w:rsidRDefault="0007781C" w:rsidP="00436B39">
      <w:pPr>
        <w:jc w:val="both"/>
        <w:rPr>
          <w:szCs w:val="24"/>
        </w:rPr>
      </w:pPr>
    </w:p>
    <w:p w:rsidR="0042255A" w:rsidRPr="007B3E3A" w:rsidRDefault="00752E75" w:rsidP="00436B39">
      <w:pPr>
        <w:jc w:val="both"/>
        <w:rPr>
          <w:b/>
          <w:szCs w:val="24"/>
        </w:rPr>
      </w:pPr>
      <w:r w:rsidRPr="007B3E3A">
        <w:rPr>
          <w:b/>
          <w:szCs w:val="24"/>
        </w:rPr>
        <w:t>DESCRIPTION OF THE SIGNIFICANT DIFFERENCES AND THE BASIS FOR THOSE DIFFERENCES</w:t>
      </w:r>
    </w:p>
    <w:p w:rsidR="00752E75" w:rsidRPr="007B3E3A" w:rsidRDefault="00752E75" w:rsidP="00436B39">
      <w:pPr>
        <w:jc w:val="both"/>
        <w:rPr>
          <w:b/>
          <w:szCs w:val="24"/>
        </w:rPr>
      </w:pPr>
    </w:p>
    <w:p w:rsidR="00B2659B" w:rsidRPr="007B3E3A" w:rsidRDefault="00B2659B" w:rsidP="00880983">
      <w:pPr>
        <w:jc w:val="both"/>
        <w:rPr>
          <w:rFonts w:eastAsiaTheme="minorHAnsi"/>
          <w:szCs w:val="24"/>
        </w:rPr>
      </w:pPr>
      <w:r w:rsidRPr="007B3E3A">
        <w:rPr>
          <w:rFonts w:eastAsiaTheme="minorHAnsi"/>
          <w:szCs w:val="24"/>
        </w:rPr>
        <w:t>As noted above, the groundwater remedy selected in the 1991 ROD was an interim remedy that did not constitute the final remedy for the Site. The 1991 ROD noted that while the</w:t>
      </w:r>
      <w:r w:rsidR="00E33EFD">
        <w:rPr>
          <w:rFonts w:eastAsiaTheme="minorHAnsi"/>
          <w:szCs w:val="24"/>
        </w:rPr>
        <w:t xml:space="preserve"> RI/FS</w:t>
      </w:r>
      <w:r w:rsidRPr="007B3E3A">
        <w:rPr>
          <w:rFonts w:eastAsiaTheme="minorHAnsi"/>
          <w:szCs w:val="24"/>
        </w:rPr>
        <w:t xml:space="preserve"> indicated the need to remediate groundwater beneath the Facility property, an additional </w:t>
      </w:r>
      <w:r w:rsidR="00003E10">
        <w:rPr>
          <w:rFonts w:eastAsiaTheme="minorHAnsi"/>
          <w:szCs w:val="24"/>
        </w:rPr>
        <w:t>investigation (the OU2 RI</w:t>
      </w:r>
      <w:r w:rsidRPr="007B3E3A">
        <w:rPr>
          <w:rFonts w:eastAsiaTheme="minorHAnsi"/>
          <w:szCs w:val="24"/>
        </w:rPr>
        <w:t>) of the nature and extent of the plume beyond the Facility property was warranted before a final remedy for the entire Site plume could be selected. The goal of the interim groundwater remedy was to address the most highly contaminated portion of the plume and to work towards aquifer restoration, until such time as a final remedy, based upon the findings of the OU2 RI</w:t>
      </w:r>
      <w:r w:rsidR="00880983">
        <w:rPr>
          <w:rFonts w:eastAsiaTheme="minorHAnsi"/>
          <w:szCs w:val="24"/>
        </w:rPr>
        <w:t>/FS</w:t>
      </w:r>
      <w:r w:rsidRPr="007B3E3A">
        <w:rPr>
          <w:rFonts w:eastAsiaTheme="minorHAnsi"/>
          <w:szCs w:val="24"/>
        </w:rPr>
        <w:t xml:space="preserve">, could be selected.  The 1991 ROD </w:t>
      </w:r>
      <w:r w:rsidRPr="007B3E3A">
        <w:rPr>
          <w:rFonts w:eastAsiaTheme="minorHAnsi"/>
          <w:szCs w:val="24"/>
        </w:rPr>
        <w:t xml:space="preserve">indicated </w:t>
      </w:r>
      <w:r w:rsidR="00E95765" w:rsidRPr="007B3E3A">
        <w:rPr>
          <w:rFonts w:eastAsiaTheme="minorHAnsi"/>
          <w:szCs w:val="24"/>
        </w:rPr>
        <w:t>the “ultimate goal of the groundwater remediation will be determined in a final remedial action for this Site.”  The 1991 ROD further states that:</w:t>
      </w:r>
      <w:r w:rsidRPr="007B3E3A">
        <w:rPr>
          <w:rFonts w:eastAsiaTheme="minorHAnsi"/>
          <w:szCs w:val="24"/>
        </w:rPr>
        <w:t xml:space="preserve"> </w:t>
      </w:r>
      <w:r w:rsidR="007C1185">
        <w:rPr>
          <w:szCs w:val="24"/>
        </w:rPr>
        <w:t>“u</w:t>
      </w:r>
      <w:r w:rsidR="00E95765" w:rsidRPr="007B3E3A">
        <w:rPr>
          <w:szCs w:val="24"/>
        </w:rPr>
        <w:t>pon completion of the second operable unit RI/FS, [the interim groundwater remedy] may be incorporated into the design of the Site remedy specified in the final action groundwater ROD.”</w:t>
      </w:r>
    </w:p>
    <w:p w:rsidR="00B2659B" w:rsidRPr="007B3E3A" w:rsidRDefault="00B2659B" w:rsidP="00B2659B">
      <w:pPr>
        <w:autoSpaceDE w:val="0"/>
        <w:autoSpaceDN w:val="0"/>
        <w:adjustRightInd w:val="0"/>
        <w:rPr>
          <w:rFonts w:eastAsiaTheme="minorHAnsi"/>
          <w:szCs w:val="24"/>
        </w:rPr>
      </w:pPr>
    </w:p>
    <w:p w:rsidR="00880983" w:rsidRDefault="00880983" w:rsidP="007B3E3A">
      <w:pPr>
        <w:autoSpaceDE w:val="0"/>
        <w:autoSpaceDN w:val="0"/>
        <w:adjustRightInd w:val="0"/>
        <w:rPr>
          <w:szCs w:val="24"/>
        </w:rPr>
      </w:pPr>
      <w:r>
        <w:rPr>
          <w:szCs w:val="24"/>
        </w:rPr>
        <w:t xml:space="preserve">In the 1995 ROD </w:t>
      </w:r>
      <w:r w:rsidR="00CC17BF" w:rsidRPr="007B3E3A">
        <w:rPr>
          <w:szCs w:val="24"/>
        </w:rPr>
        <w:t>EPA determined that no further remedial action was necessary to protect human health and the environment at the Site</w:t>
      </w:r>
      <w:r w:rsidR="00E95765" w:rsidRPr="007B3E3A">
        <w:rPr>
          <w:szCs w:val="24"/>
        </w:rPr>
        <w:t xml:space="preserve">.  </w:t>
      </w:r>
      <w:r>
        <w:rPr>
          <w:szCs w:val="24"/>
        </w:rPr>
        <w:t>The 1995 ROD stated</w:t>
      </w:r>
      <w:r w:rsidR="00B2659B" w:rsidRPr="007B3E3A">
        <w:rPr>
          <w:szCs w:val="24"/>
        </w:rPr>
        <w:t xml:space="preserve"> that “past, current and future cleanup activities conducted at the Genzale Plating Company property, will remediate the significant contamination present at this Site, will contribute to the cleanup by natural attenuation of the downgradient groundwater, and will result in the eventual compliance with Federal and State applicable, relevant and appropriate requirements.</w:t>
      </w:r>
      <w:r>
        <w:rPr>
          <w:szCs w:val="24"/>
        </w:rPr>
        <w:t>”  However, the 1995 did</w:t>
      </w:r>
      <w:r w:rsidR="00E95765" w:rsidRPr="007B3E3A">
        <w:rPr>
          <w:szCs w:val="24"/>
        </w:rPr>
        <w:t xml:space="preserve"> not explicitly </w:t>
      </w:r>
      <w:r>
        <w:rPr>
          <w:szCs w:val="24"/>
        </w:rPr>
        <w:t xml:space="preserve">identify </w:t>
      </w:r>
      <w:r w:rsidR="00E95765" w:rsidRPr="007B3E3A">
        <w:rPr>
          <w:szCs w:val="24"/>
        </w:rPr>
        <w:t xml:space="preserve">the numeric remediation goals for contaminants in groundwater across the Site </w:t>
      </w:r>
      <w:r>
        <w:rPr>
          <w:szCs w:val="24"/>
        </w:rPr>
        <w:t>or state</w:t>
      </w:r>
      <w:r w:rsidR="00E95765" w:rsidRPr="007B3E3A">
        <w:rPr>
          <w:szCs w:val="24"/>
        </w:rPr>
        <w:t xml:space="preserve"> that the groundwater remedy for the Site was intended to restore the aquifer. </w:t>
      </w:r>
      <w:r w:rsidR="008B1B6A" w:rsidRPr="007B3E3A">
        <w:rPr>
          <w:szCs w:val="24"/>
        </w:rPr>
        <w:t>Con</w:t>
      </w:r>
      <w:r w:rsidR="007B3E3A" w:rsidRPr="007B3E3A">
        <w:rPr>
          <w:szCs w:val="24"/>
        </w:rPr>
        <w:t xml:space="preserve">sequently, this ESD </w:t>
      </w:r>
      <w:r>
        <w:rPr>
          <w:szCs w:val="24"/>
        </w:rPr>
        <w:t xml:space="preserve">has been prepared to </w:t>
      </w:r>
      <w:r w:rsidR="008B1B6A" w:rsidRPr="007B3E3A">
        <w:rPr>
          <w:szCs w:val="24"/>
        </w:rPr>
        <w:t xml:space="preserve">identify the </w:t>
      </w:r>
      <w:r w:rsidR="00D508F1" w:rsidRPr="007B3E3A">
        <w:rPr>
          <w:szCs w:val="24"/>
        </w:rPr>
        <w:t xml:space="preserve">specific numeric </w:t>
      </w:r>
      <w:r w:rsidR="008B1B6A" w:rsidRPr="007B3E3A">
        <w:rPr>
          <w:szCs w:val="24"/>
        </w:rPr>
        <w:t>remediation goals for the groundwater remed</w:t>
      </w:r>
      <w:r w:rsidR="00DD5C07" w:rsidRPr="007B3E3A">
        <w:rPr>
          <w:szCs w:val="24"/>
        </w:rPr>
        <w:t>y</w:t>
      </w:r>
      <w:r w:rsidR="00D440BB">
        <w:rPr>
          <w:szCs w:val="24"/>
        </w:rPr>
        <w:t xml:space="preserve"> </w:t>
      </w:r>
      <w:r w:rsidR="008B1B6A" w:rsidRPr="007B3E3A">
        <w:rPr>
          <w:szCs w:val="24"/>
        </w:rPr>
        <w:t>at the Site</w:t>
      </w:r>
      <w:r>
        <w:rPr>
          <w:szCs w:val="24"/>
        </w:rPr>
        <w:t xml:space="preserve"> and to </w:t>
      </w:r>
      <w:r w:rsidRPr="007B3E3A">
        <w:rPr>
          <w:szCs w:val="24"/>
        </w:rPr>
        <w:t xml:space="preserve">document that the final groundwater remedy is a </w:t>
      </w:r>
      <w:r>
        <w:rPr>
          <w:szCs w:val="24"/>
        </w:rPr>
        <w:t xml:space="preserve">groundwater </w:t>
      </w:r>
      <w:r w:rsidRPr="007B3E3A">
        <w:rPr>
          <w:szCs w:val="24"/>
        </w:rPr>
        <w:t>restoration remedy</w:t>
      </w:r>
      <w:r w:rsidR="008B1B6A" w:rsidRPr="007B3E3A">
        <w:rPr>
          <w:szCs w:val="24"/>
        </w:rPr>
        <w:t xml:space="preserve">. </w:t>
      </w:r>
    </w:p>
    <w:p w:rsidR="00880983" w:rsidRDefault="00880983" w:rsidP="007B3E3A">
      <w:pPr>
        <w:autoSpaceDE w:val="0"/>
        <w:autoSpaceDN w:val="0"/>
        <w:adjustRightInd w:val="0"/>
        <w:rPr>
          <w:szCs w:val="24"/>
        </w:rPr>
      </w:pPr>
    </w:p>
    <w:p w:rsidR="00EE5051" w:rsidRPr="007B3E3A" w:rsidRDefault="00880983" w:rsidP="007B3E3A">
      <w:pPr>
        <w:autoSpaceDE w:val="0"/>
        <w:autoSpaceDN w:val="0"/>
        <w:adjustRightInd w:val="0"/>
        <w:rPr>
          <w:szCs w:val="24"/>
        </w:rPr>
      </w:pPr>
      <w:r>
        <w:rPr>
          <w:szCs w:val="24"/>
        </w:rPr>
        <w:t>The numeric remediation goal</w:t>
      </w:r>
      <w:r w:rsidR="00177133">
        <w:rPr>
          <w:szCs w:val="24"/>
        </w:rPr>
        <w:t>s</w:t>
      </w:r>
      <w:r>
        <w:rPr>
          <w:szCs w:val="24"/>
        </w:rPr>
        <w:t xml:space="preserve"> for the COCs </w:t>
      </w:r>
      <w:r w:rsidR="00177133">
        <w:rPr>
          <w:szCs w:val="24"/>
        </w:rPr>
        <w:t xml:space="preserve">in groundwater </w:t>
      </w:r>
      <w:r>
        <w:rPr>
          <w:szCs w:val="24"/>
        </w:rPr>
        <w:t xml:space="preserve">at the Site are based upon </w:t>
      </w:r>
      <w:r w:rsidR="00D508F1" w:rsidRPr="007B3E3A">
        <w:rPr>
          <w:szCs w:val="24"/>
        </w:rPr>
        <w:t xml:space="preserve">the more stringent of federal or state </w:t>
      </w:r>
      <w:r w:rsidR="00A839CF">
        <w:rPr>
          <w:szCs w:val="24"/>
        </w:rPr>
        <w:t>Maxi</w:t>
      </w:r>
      <w:r w:rsidR="008B1B6A" w:rsidRPr="007B3E3A">
        <w:rPr>
          <w:szCs w:val="24"/>
        </w:rPr>
        <w:t xml:space="preserve">mum Contaminant Levels </w:t>
      </w:r>
      <w:r w:rsidR="00177133">
        <w:rPr>
          <w:szCs w:val="24"/>
        </w:rPr>
        <w:t>(</w:t>
      </w:r>
      <w:r w:rsidR="002471E0" w:rsidRPr="007B3E3A">
        <w:rPr>
          <w:szCs w:val="24"/>
        </w:rPr>
        <w:t>MCLs)</w:t>
      </w:r>
      <w:r w:rsidR="00177133">
        <w:rPr>
          <w:szCs w:val="24"/>
        </w:rPr>
        <w:t>.</w:t>
      </w:r>
      <w:r w:rsidR="008B1B6A" w:rsidRPr="007B3E3A">
        <w:rPr>
          <w:szCs w:val="24"/>
        </w:rPr>
        <w:t xml:space="preserve"> </w:t>
      </w:r>
      <w:r w:rsidR="00144B6E" w:rsidRPr="007B3E3A">
        <w:rPr>
          <w:szCs w:val="24"/>
        </w:rPr>
        <w:t xml:space="preserve">TCE </w:t>
      </w:r>
      <w:r w:rsidR="008F4959">
        <w:rPr>
          <w:szCs w:val="24"/>
        </w:rPr>
        <w:t xml:space="preserve">is </w:t>
      </w:r>
      <w:r w:rsidR="00144B6E" w:rsidRPr="007B3E3A">
        <w:rPr>
          <w:szCs w:val="24"/>
        </w:rPr>
        <w:t>still detected</w:t>
      </w:r>
      <w:r w:rsidR="00D508F1" w:rsidRPr="007B3E3A">
        <w:rPr>
          <w:szCs w:val="24"/>
        </w:rPr>
        <w:t xml:space="preserve"> above </w:t>
      </w:r>
      <w:r w:rsidR="008F4959">
        <w:rPr>
          <w:szCs w:val="24"/>
        </w:rPr>
        <w:t>its</w:t>
      </w:r>
      <w:r w:rsidR="00D508F1" w:rsidRPr="007B3E3A">
        <w:rPr>
          <w:szCs w:val="24"/>
        </w:rPr>
        <w:t xml:space="preserve"> MCL</w:t>
      </w:r>
      <w:r w:rsidR="00A839CF">
        <w:rPr>
          <w:szCs w:val="24"/>
        </w:rPr>
        <w:t xml:space="preserve"> </w:t>
      </w:r>
      <w:r w:rsidR="00D508F1" w:rsidRPr="007B3E3A">
        <w:rPr>
          <w:szCs w:val="24"/>
        </w:rPr>
        <w:t>in Site groundwater;</w:t>
      </w:r>
      <w:r w:rsidR="00A839CF">
        <w:rPr>
          <w:szCs w:val="24"/>
        </w:rPr>
        <w:t xml:space="preserve"> </w:t>
      </w:r>
      <w:r w:rsidR="00D508F1" w:rsidRPr="007B3E3A">
        <w:rPr>
          <w:szCs w:val="24"/>
        </w:rPr>
        <w:t>t</w:t>
      </w:r>
      <w:r w:rsidR="00144B6E" w:rsidRPr="007B3E3A">
        <w:rPr>
          <w:szCs w:val="24"/>
        </w:rPr>
        <w:t xml:space="preserve">he other </w:t>
      </w:r>
      <w:r w:rsidR="00A839CF">
        <w:rPr>
          <w:szCs w:val="24"/>
        </w:rPr>
        <w:t xml:space="preserve">groundwater </w:t>
      </w:r>
      <w:r w:rsidR="00144B6E" w:rsidRPr="007B3E3A">
        <w:rPr>
          <w:szCs w:val="24"/>
        </w:rPr>
        <w:t xml:space="preserve">COCs at the </w:t>
      </w:r>
      <w:r w:rsidR="00D508F1" w:rsidRPr="007B3E3A">
        <w:rPr>
          <w:szCs w:val="24"/>
        </w:rPr>
        <w:t>S</w:t>
      </w:r>
      <w:r w:rsidR="00144B6E" w:rsidRPr="007B3E3A">
        <w:rPr>
          <w:szCs w:val="24"/>
        </w:rPr>
        <w:t>ite (</w:t>
      </w:r>
      <w:r w:rsidR="00D508F1" w:rsidRPr="007B3E3A">
        <w:rPr>
          <w:szCs w:val="24"/>
        </w:rPr>
        <w:t>c</w:t>
      </w:r>
      <w:r w:rsidR="00144B6E" w:rsidRPr="007B3E3A">
        <w:rPr>
          <w:szCs w:val="24"/>
        </w:rPr>
        <w:t xml:space="preserve">admium, </w:t>
      </w:r>
      <w:r w:rsidR="00D508F1" w:rsidRPr="007B3E3A">
        <w:rPr>
          <w:szCs w:val="24"/>
        </w:rPr>
        <w:t>l</w:t>
      </w:r>
      <w:r w:rsidR="00144B6E" w:rsidRPr="007B3E3A">
        <w:rPr>
          <w:szCs w:val="24"/>
        </w:rPr>
        <w:t xml:space="preserve">ead, </w:t>
      </w:r>
      <w:r w:rsidR="00D508F1" w:rsidRPr="007B3E3A">
        <w:rPr>
          <w:szCs w:val="24"/>
        </w:rPr>
        <w:t>n</w:t>
      </w:r>
      <w:r w:rsidR="00144B6E" w:rsidRPr="007B3E3A">
        <w:rPr>
          <w:szCs w:val="24"/>
        </w:rPr>
        <w:t>ickel,</w:t>
      </w:r>
      <w:r w:rsidR="008F4959" w:rsidRPr="007B3E3A">
        <w:rPr>
          <w:szCs w:val="24"/>
        </w:rPr>
        <w:t xml:space="preserve"> hexavalent chromium</w:t>
      </w:r>
      <w:r w:rsidR="008F4959">
        <w:rPr>
          <w:szCs w:val="24"/>
        </w:rPr>
        <w:t>,</w:t>
      </w:r>
      <w:r w:rsidR="008F4959" w:rsidRPr="007B3E3A">
        <w:rPr>
          <w:szCs w:val="24"/>
        </w:rPr>
        <w:t xml:space="preserve"> </w:t>
      </w:r>
      <w:r w:rsidR="00144B6E" w:rsidRPr="007B3E3A">
        <w:rPr>
          <w:szCs w:val="24"/>
        </w:rPr>
        <w:t xml:space="preserve">1,1,1-trichloroethane, and 1,2-dichloroethane) are no longer detected </w:t>
      </w:r>
      <w:r w:rsidR="00D508F1" w:rsidRPr="007B3E3A">
        <w:rPr>
          <w:szCs w:val="24"/>
        </w:rPr>
        <w:t>above MCLs</w:t>
      </w:r>
      <w:r w:rsidR="00144B6E" w:rsidRPr="007B3E3A">
        <w:rPr>
          <w:szCs w:val="24"/>
        </w:rPr>
        <w:t xml:space="preserve">.  </w:t>
      </w:r>
      <w:r w:rsidR="00D76573" w:rsidRPr="007B3E3A">
        <w:rPr>
          <w:szCs w:val="24"/>
        </w:rPr>
        <w:t>The</w:t>
      </w:r>
      <w:r w:rsidR="00D508F1" w:rsidRPr="007B3E3A">
        <w:rPr>
          <w:szCs w:val="24"/>
        </w:rPr>
        <w:t xml:space="preserve"> remediation goals for the COCs</w:t>
      </w:r>
      <w:r w:rsidR="008B1B6A" w:rsidRPr="007B3E3A">
        <w:rPr>
          <w:szCs w:val="24"/>
        </w:rPr>
        <w:t xml:space="preserve"> </w:t>
      </w:r>
      <w:r w:rsidR="00D508F1" w:rsidRPr="007B3E3A">
        <w:rPr>
          <w:szCs w:val="24"/>
        </w:rPr>
        <w:t xml:space="preserve">in </w:t>
      </w:r>
      <w:r w:rsidR="008B1B6A" w:rsidRPr="007B3E3A">
        <w:rPr>
          <w:szCs w:val="24"/>
        </w:rPr>
        <w:t xml:space="preserve">groundwater are as follows: </w:t>
      </w:r>
    </w:p>
    <w:p w:rsidR="00EE5051" w:rsidRPr="007B3E3A" w:rsidRDefault="00EE5051" w:rsidP="008B1B6A">
      <w:pPr>
        <w:jc w:val="both"/>
        <w:rPr>
          <w:szCs w:val="24"/>
        </w:rPr>
      </w:pPr>
    </w:p>
    <w:p w:rsidR="00EE5051" w:rsidRDefault="008B1B6A" w:rsidP="00EE5051">
      <w:pPr>
        <w:pStyle w:val="ListParagraph"/>
        <w:numPr>
          <w:ilvl w:val="0"/>
          <w:numId w:val="3"/>
        </w:numPr>
        <w:jc w:val="both"/>
        <w:rPr>
          <w:szCs w:val="24"/>
        </w:rPr>
      </w:pPr>
      <w:r w:rsidRPr="007B3E3A">
        <w:rPr>
          <w:szCs w:val="24"/>
        </w:rPr>
        <w:t xml:space="preserve">5 parts per billion (ppb) for TCE </w:t>
      </w:r>
    </w:p>
    <w:p w:rsidR="00177133" w:rsidRPr="007B3E3A" w:rsidRDefault="00177133" w:rsidP="00EE5051">
      <w:pPr>
        <w:pStyle w:val="ListParagraph"/>
        <w:numPr>
          <w:ilvl w:val="0"/>
          <w:numId w:val="3"/>
        </w:numPr>
        <w:jc w:val="both"/>
        <w:rPr>
          <w:szCs w:val="24"/>
        </w:rPr>
      </w:pPr>
      <w:r>
        <w:rPr>
          <w:szCs w:val="24"/>
        </w:rPr>
        <w:t>5 ppb for PCE</w:t>
      </w:r>
    </w:p>
    <w:p w:rsidR="00144B6E" w:rsidRPr="007B3E3A" w:rsidRDefault="00144B6E" w:rsidP="00EE5051">
      <w:pPr>
        <w:pStyle w:val="ListParagraph"/>
        <w:numPr>
          <w:ilvl w:val="0"/>
          <w:numId w:val="3"/>
        </w:numPr>
        <w:jc w:val="both"/>
        <w:rPr>
          <w:szCs w:val="24"/>
        </w:rPr>
      </w:pPr>
      <w:r w:rsidRPr="007B3E3A">
        <w:rPr>
          <w:szCs w:val="24"/>
        </w:rPr>
        <w:t>5 ppb for 1,1,1-trichloroethane</w:t>
      </w:r>
    </w:p>
    <w:p w:rsidR="00144B6E" w:rsidRPr="007B3E3A" w:rsidRDefault="00D15741" w:rsidP="00EE5051">
      <w:pPr>
        <w:pStyle w:val="ListParagraph"/>
        <w:numPr>
          <w:ilvl w:val="0"/>
          <w:numId w:val="3"/>
        </w:numPr>
        <w:jc w:val="both"/>
        <w:rPr>
          <w:szCs w:val="24"/>
        </w:rPr>
      </w:pPr>
      <w:r>
        <w:rPr>
          <w:szCs w:val="24"/>
        </w:rPr>
        <w:t xml:space="preserve">5 </w:t>
      </w:r>
      <w:r w:rsidR="00F70C8B" w:rsidRPr="007B3E3A">
        <w:rPr>
          <w:szCs w:val="24"/>
        </w:rPr>
        <w:t>ppb for 1,2-dichloroethane</w:t>
      </w:r>
    </w:p>
    <w:p w:rsidR="00C35797" w:rsidRPr="007B3E3A" w:rsidRDefault="001B797E" w:rsidP="00EE5051">
      <w:pPr>
        <w:pStyle w:val="ListParagraph"/>
        <w:numPr>
          <w:ilvl w:val="0"/>
          <w:numId w:val="3"/>
        </w:numPr>
        <w:jc w:val="both"/>
        <w:rPr>
          <w:szCs w:val="24"/>
        </w:rPr>
      </w:pPr>
      <w:r w:rsidRPr="007B3E3A">
        <w:rPr>
          <w:szCs w:val="24"/>
        </w:rPr>
        <w:t>50</w:t>
      </w:r>
      <w:r w:rsidR="008B1B6A" w:rsidRPr="007B3E3A">
        <w:rPr>
          <w:szCs w:val="24"/>
        </w:rPr>
        <w:t xml:space="preserve"> ppb for hexavalent chromium</w:t>
      </w:r>
    </w:p>
    <w:p w:rsidR="00144B6E" w:rsidRPr="007B3E3A" w:rsidRDefault="00144B6E" w:rsidP="00EE5051">
      <w:pPr>
        <w:pStyle w:val="ListParagraph"/>
        <w:numPr>
          <w:ilvl w:val="0"/>
          <w:numId w:val="3"/>
        </w:numPr>
        <w:jc w:val="both"/>
        <w:rPr>
          <w:szCs w:val="24"/>
        </w:rPr>
      </w:pPr>
      <w:r w:rsidRPr="007B3E3A">
        <w:rPr>
          <w:szCs w:val="24"/>
        </w:rPr>
        <w:t xml:space="preserve">5 ppb for </w:t>
      </w:r>
      <w:r w:rsidR="00177133">
        <w:rPr>
          <w:szCs w:val="24"/>
        </w:rPr>
        <w:t>c</w:t>
      </w:r>
      <w:r w:rsidRPr="007B3E3A">
        <w:rPr>
          <w:szCs w:val="24"/>
        </w:rPr>
        <w:t>admium</w:t>
      </w:r>
    </w:p>
    <w:p w:rsidR="00144B6E" w:rsidRPr="007B3E3A" w:rsidRDefault="00144B6E" w:rsidP="00EE5051">
      <w:pPr>
        <w:pStyle w:val="ListParagraph"/>
        <w:numPr>
          <w:ilvl w:val="0"/>
          <w:numId w:val="3"/>
        </w:numPr>
        <w:jc w:val="both"/>
        <w:rPr>
          <w:szCs w:val="24"/>
        </w:rPr>
      </w:pPr>
      <w:r w:rsidRPr="007B3E3A">
        <w:rPr>
          <w:szCs w:val="24"/>
        </w:rPr>
        <w:t xml:space="preserve">15 ppb for </w:t>
      </w:r>
      <w:r w:rsidR="00177133">
        <w:rPr>
          <w:szCs w:val="24"/>
        </w:rPr>
        <w:t>l</w:t>
      </w:r>
      <w:r w:rsidRPr="007B3E3A">
        <w:rPr>
          <w:szCs w:val="24"/>
        </w:rPr>
        <w:t>ead</w:t>
      </w:r>
    </w:p>
    <w:p w:rsidR="00D80820" w:rsidRPr="00D80820" w:rsidRDefault="00144B6E" w:rsidP="00D15741">
      <w:pPr>
        <w:pStyle w:val="ListParagraph"/>
        <w:numPr>
          <w:ilvl w:val="0"/>
          <w:numId w:val="3"/>
        </w:numPr>
        <w:jc w:val="both"/>
      </w:pPr>
      <w:r w:rsidRPr="007B3E3A">
        <w:rPr>
          <w:szCs w:val="24"/>
        </w:rPr>
        <w:t xml:space="preserve">100 ppb for </w:t>
      </w:r>
      <w:r w:rsidR="00177133">
        <w:rPr>
          <w:szCs w:val="24"/>
        </w:rPr>
        <w:t>n</w:t>
      </w:r>
      <w:r w:rsidRPr="007B3E3A">
        <w:rPr>
          <w:szCs w:val="24"/>
        </w:rPr>
        <w:t xml:space="preserve">ickel </w:t>
      </w:r>
    </w:p>
    <w:p w:rsidR="00D80820" w:rsidRPr="00D80820" w:rsidRDefault="00D80820" w:rsidP="00D80820">
      <w:pPr>
        <w:numPr>
          <w:ilvl w:val="0"/>
          <w:numId w:val="3"/>
        </w:numPr>
        <w:contextualSpacing/>
        <w:jc w:val="both"/>
      </w:pPr>
      <w:r>
        <w:t xml:space="preserve">1,300 ppb for </w:t>
      </w:r>
      <w:r w:rsidR="00177133">
        <w:t>c</w:t>
      </w:r>
      <w:r w:rsidRPr="00D80820">
        <w:t xml:space="preserve">opper </w:t>
      </w:r>
    </w:p>
    <w:p w:rsidR="008B1B6A" w:rsidRPr="007B3E3A" w:rsidRDefault="008B1B6A" w:rsidP="00D80820">
      <w:pPr>
        <w:pStyle w:val="ListParagraph"/>
        <w:jc w:val="both"/>
        <w:rPr>
          <w:szCs w:val="24"/>
        </w:rPr>
      </w:pPr>
    </w:p>
    <w:p w:rsidR="002471E0" w:rsidRPr="007B3E3A" w:rsidRDefault="002471E0" w:rsidP="00436B39">
      <w:pPr>
        <w:jc w:val="both"/>
        <w:rPr>
          <w:szCs w:val="24"/>
        </w:rPr>
      </w:pPr>
    </w:p>
    <w:p w:rsidR="0007781C" w:rsidRPr="007B3E3A" w:rsidRDefault="00993F7C" w:rsidP="00436B39">
      <w:pPr>
        <w:jc w:val="both"/>
        <w:rPr>
          <w:szCs w:val="24"/>
        </w:rPr>
      </w:pPr>
      <w:r>
        <w:rPr>
          <w:szCs w:val="24"/>
        </w:rPr>
        <w:t>It should be noted that t</w:t>
      </w:r>
      <w:r w:rsidR="008B1B6A" w:rsidRPr="007B3E3A">
        <w:rPr>
          <w:szCs w:val="24"/>
        </w:rPr>
        <w:t xml:space="preserve">he groundwater data shows a decreasing trend in both VOC and inorganic contaminant concentrations (e.g., metals), indicating that the soil </w:t>
      </w:r>
      <w:r w:rsidR="00D508F1" w:rsidRPr="007B3E3A">
        <w:rPr>
          <w:szCs w:val="24"/>
        </w:rPr>
        <w:t xml:space="preserve">and groundwater </w:t>
      </w:r>
      <w:r w:rsidR="008B1B6A" w:rsidRPr="007B3E3A">
        <w:rPr>
          <w:szCs w:val="24"/>
        </w:rPr>
        <w:t>remed</w:t>
      </w:r>
      <w:r w:rsidR="00D508F1" w:rsidRPr="007B3E3A">
        <w:rPr>
          <w:szCs w:val="24"/>
        </w:rPr>
        <w:t>ies</w:t>
      </w:r>
      <w:r w:rsidR="008B1B6A" w:rsidRPr="007B3E3A">
        <w:rPr>
          <w:szCs w:val="24"/>
        </w:rPr>
        <w:t xml:space="preserve"> </w:t>
      </w:r>
      <w:r w:rsidR="00A839CF">
        <w:rPr>
          <w:szCs w:val="24"/>
        </w:rPr>
        <w:t>are effectively addressing Site contamination</w:t>
      </w:r>
      <w:r w:rsidR="008B1B6A" w:rsidRPr="007B3E3A">
        <w:rPr>
          <w:szCs w:val="24"/>
        </w:rPr>
        <w:t xml:space="preserve">. </w:t>
      </w:r>
      <w:r w:rsidR="001B797E" w:rsidRPr="007B3E3A">
        <w:rPr>
          <w:szCs w:val="24"/>
        </w:rPr>
        <w:t xml:space="preserve"> TCE </w:t>
      </w:r>
      <w:r w:rsidR="0096459E" w:rsidRPr="007B3E3A">
        <w:rPr>
          <w:szCs w:val="24"/>
        </w:rPr>
        <w:t xml:space="preserve">concentrations </w:t>
      </w:r>
      <w:r w:rsidR="001B797E" w:rsidRPr="007B3E3A">
        <w:rPr>
          <w:szCs w:val="24"/>
        </w:rPr>
        <w:t xml:space="preserve">in the groundwater </w:t>
      </w:r>
      <w:r w:rsidR="008277B6" w:rsidRPr="007B3E3A">
        <w:rPr>
          <w:szCs w:val="24"/>
        </w:rPr>
        <w:t xml:space="preserve">have decreased from </w:t>
      </w:r>
      <w:r w:rsidR="009D6692" w:rsidRPr="007B3E3A">
        <w:rPr>
          <w:szCs w:val="24"/>
        </w:rPr>
        <w:t>110</w:t>
      </w:r>
      <w:r w:rsidR="00A839CF">
        <w:rPr>
          <w:szCs w:val="24"/>
        </w:rPr>
        <w:t xml:space="preserve"> </w:t>
      </w:r>
      <w:r w:rsidR="009D6692" w:rsidRPr="007B3E3A">
        <w:rPr>
          <w:szCs w:val="24"/>
        </w:rPr>
        <w:t xml:space="preserve">ppb in 2003 to 10 ppb in 2016.  Hexavalent chromium concentrations </w:t>
      </w:r>
      <w:r w:rsidR="00A9274C">
        <w:rPr>
          <w:szCs w:val="24"/>
        </w:rPr>
        <w:t xml:space="preserve">during the same period </w:t>
      </w:r>
      <w:r w:rsidR="0096459E" w:rsidRPr="007B3E3A">
        <w:rPr>
          <w:szCs w:val="24"/>
        </w:rPr>
        <w:t xml:space="preserve">have decreased </w:t>
      </w:r>
      <w:r w:rsidR="009D6692" w:rsidRPr="007B3E3A">
        <w:rPr>
          <w:szCs w:val="24"/>
        </w:rPr>
        <w:t xml:space="preserve">from </w:t>
      </w:r>
      <w:r w:rsidR="00F26630" w:rsidRPr="007B3E3A">
        <w:rPr>
          <w:szCs w:val="24"/>
        </w:rPr>
        <w:t>2100</w:t>
      </w:r>
      <w:r w:rsidR="008277B6" w:rsidRPr="007B3E3A">
        <w:rPr>
          <w:szCs w:val="24"/>
        </w:rPr>
        <w:t xml:space="preserve"> </w:t>
      </w:r>
      <w:r w:rsidR="00F26630" w:rsidRPr="007B3E3A">
        <w:rPr>
          <w:szCs w:val="24"/>
        </w:rPr>
        <w:t xml:space="preserve">ppb </w:t>
      </w:r>
      <w:r w:rsidR="008277B6" w:rsidRPr="007B3E3A">
        <w:rPr>
          <w:szCs w:val="24"/>
        </w:rPr>
        <w:t xml:space="preserve">in 2003 </w:t>
      </w:r>
      <w:r w:rsidR="00F26630" w:rsidRPr="007B3E3A">
        <w:rPr>
          <w:szCs w:val="24"/>
        </w:rPr>
        <w:t>to 10 ppb</w:t>
      </w:r>
      <w:r w:rsidR="008277B6" w:rsidRPr="007B3E3A">
        <w:rPr>
          <w:szCs w:val="24"/>
        </w:rPr>
        <w:t xml:space="preserve"> in 2016</w:t>
      </w:r>
      <w:r w:rsidR="00F26630" w:rsidRPr="007B3E3A">
        <w:rPr>
          <w:szCs w:val="24"/>
        </w:rPr>
        <w:t>.</w:t>
      </w:r>
    </w:p>
    <w:p w:rsidR="001B4954" w:rsidRPr="007B3E3A" w:rsidRDefault="001B4954" w:rsidP="00436B39">
      <w:pPr>
        <w:jc w:val="both"/>
        <w:rPr>
          <w:szCs w:val="24"/>
        </w:rPr>
      </w:pPr>
    </w:p>
    <w:p w:rsidR="001B4954" w:rsidRPr="007B3E3A" w:rsidRDefault="001B4954" w:rsidP="001B4954">
      <w:pPr>
        <w:tabs>
          <w:tab w:val="left" w:pos="0"/>
          <w:tab w:val="left" w:pos="360"/>
          <w:tab w:val="left" w:pos="996"/>
          <w:tab w:val="left" w:pos="1088"/>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76"/>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b/>
          <w:bCs/>
          <w:szCs w:val="24"/>
        </w:rPr>
      </w:pPr>
      <w:r w:rsidRPr="007B3E3A">
        <w:rPr>
          <w:b/>
          <w:bCs/>
          <w:szCs w:val="24"/>
        </w:rPr>
        <w:t>SUPPORT AGENCY COMMENTS</w:t>
      </w:r>
    </w:p>
    <w:p w:rsidR="001B4954" w:rsidRPr="007B3E3A" w:rsidRDefault="001B4954" w:rsidP="001B4954">
      <w:pPr>
        <w:tabs>
          <w:tab w:val="left" w:pos="0"/>
          <w:tab w:val="left" w:pos="360"/>
          <w:tab w:val="left" w:pos="996"/>
          <w:tab w:val="left" w:pos="1088"/>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76"/>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b/>
          <w:bCs/>
          <w:szCs w:val="24"/>
        </w:rPr>
      </w:pPr>
    </w:p>
    <w:p w:rsidR="001B4954" w:rsidRPr="007B3E3A" w:rsidRDefault="002F0F2E" w:rsidP="002F0F2E">
      <w:pPr>
        <w:tabs>
          <w:tab w:val="left" w:pos="-1440"/>
          <w:tab w:val="left" w:pos="-720"/>
          <w:tab w:val="left" w:pos="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both"/>
        <w:rPr>
          <w:color w:val="000000"/>
          <w:szCs w:val="24"/>
        </w:rPr>
      </w:pPr>
      <w:r w:rsidRPr="002F0F2E">
        <w:rPr>
          <w:color w:val="000000"/>
          <w:szCs w:val="24"/>
        </w:rPr>
        <w:t xml:space="preserve">NYSDEC, in </w:t>
      </w:r>
      <w:r>
        <w:rPr>
          <w:color w:val="000000"/>
          <w:szCs w:val="24"/>
        </w:rPr>
        <w:t xml:space="preserve">consultation with </w:t>
      </w:r>
      <w:r w:rsidR="006626A2">
        <w:rPr>
          <w:color w:val="000000"/>
          <w:szCs w:val="24"/>
        </w:rPr>
        <w:t>the New York State Department of Health (</w:t>
      </w:r>
      <w:r>
        <w:rPr>
          <w:color w:val="000000"/>
          <w:szCs w:val="24"/>
        </w:rPr>
        <w:t>NYSD</w:t>
      </w:r>
      <w:r w:rsidRPr="002F0F2E">
        <w:rPr>
          <w:color w:val="000000"/>
          <w:szCs w:val="24"/>
        </w:rPr>
        <w:t>OH</w:t>
      </w:r>
      <w:r w:rsidR="006626A2">
        <w:rPr>
          <w:color w:val="000000"/>
          <w:szCs w:val="24"/>
        </w:rPr>
        <w:t>)</w:t>
      </w:r>
      <w:r w:rsidRPr="002F0F2E">
        <w:rPr>
          <w:color w:val="000000"/>
          <w:szCs w:val="24"/>
        </w:rPr>
        <w:t>, after careful consideration of</w:t>
      </w:r>
      <w:r>
        <w:rPr>
          <w:color w:val="000000"/>
          <w:szCs w:val="24"/>
        </w:rPr>
        <w:t xml:space="preserve"> </w:t>
      </w:r>
      <w:r w:rsidRPr="002F0F2E">
        <w:rPr>
          <w:color w:val="000000"/>
          <w:szCs w:val="24"/>
        </w:rPr>
        <w:t xml:space="preserve">the modified </w:t>
      </w:r>
      <w:r>
        <w:rPr>
          <w:color w:val="000000"/>
          <w:szCs w:val="24"/>
        </w:rPr>
        <w:t>remed</w:t>
      </w:r>
      <w:r w:rsidRPr="002F0F2E">
        <w:rPr>
          <w:color w:val="000000"/>
          <w:szCs w:val="24"/>
        </w:rPr>
        <w:t xml:space="preserve">y, </w:t>
      </w:r>
      <w:r>
        <w:rPr>
          <w:color w:val="000000"/>
          <w:szCs w:val="24"/>
        </w:rPr>
        <w:t>su</w:t>
      </w:r>
      <w:r w:rsidRPr="002F0F2E">
        <w:rPr>
          <w:color w:val="000000"/>
          <w:szCs w:val="24"/>
        </w:rPr>
        <w:t>pports this ESD, as the modified remedy significantly changes but does not</w:t>
      </w:r>
      <w:r>
        <w:rPr>
          <w:color w:val="000000"/>
          <w:szCs w:val="24"/>
        </w:rPr>
        <w:t xml:space="preserve"> </w:t>
      </w:r>
      <w:r w:rsidRPr="002F0F2E">
        <w:rPr>
          <w:color w:val="000000"/>
          <w:szCs w:val="24"/>
        </w:rPr>
        <w:t xml:space="preserve">fundamentally alter the groundwater remedy selected in the 1991 and </w:t>
      </w:r>
      <w:r>
        <w:rPr>
          <w:color w:val="000000"/>
          <w:szCs w:val="24"/>
        </w:rPr>
        <w:t>1995 RODs</w:t>
      </w:r>
      <w:r w:rsidR="001B4954" w:rsidRPr="007B3E3A">
        <w:rPr>
          <w:szCs w:val="24"/>
        </w:rPr>
        <w:t xml:space="preserve">.  </w:t>
      </w:r>
    </w:p>
    <w:p w:rsidR="001B4954" w:rsidRPr="007B3E3A" w:rsidRDefault="001B4954" w:rsidP="001B4954">
      <w:pPr>
        <w:tabs>
          <w:tab w:val="left" w:pos="0"/>
          <w:tab w:val="left" w:pos="630"/>
          <w:tab w:val="left" w:pos="1266"/>
          <w:tab w:val="left" w:pos="1356"/>
          <w:tab w:val="left" w:pos="1710"/>
          <w:tab w:val="left" w:pos="2430"/>
          <w:tab w:val="left" w:pos="3150"/>
          <w:tab w:val="left" w:pos="3870"/>
          <w:tab w:val="left" w:pos="4590"/>
          <w:tab w:val="left" w:pos="4680"/>
          <w:tab w:val="left" w:pos="5310"/>
          <w:tab w:val="left" w:pos="6030"/>
          <w:tab w:val="left" w:pos="6750"/>
          <w:tab w:val="left" w:pos="7470"/>
          <w:tab w:val="left" w:pos="8190"/>
          <w:tab w:val="left" w:pos="8910"/>
          <w:tab w:val="left" w:pos="9624"/>
          <w:tab w:val="left" w:pos="10346"/>
          <w:tab w:val="left" w:pos="12510"/>
          <w:tab w:val="left" w:pos="13230"/>
          <w:tab w:val="left" w:pos="13950"/>
          <w:tab w:val="left" w:pos="14670"/>
          <w:tab w:val="left" w:pos="15390"/>
          <w:tab w:val="left" w:pos="16110"/>
          <w:tab w:val="left" w:pos="16830"/>
          <w:tab w:val="left" w:pos="17550"/>
          <w:tab w:val="left" w:pos="18270"/>
          <w:tab w:val="left" w:pos="18990"/>
          <w:tab w:val="left" w:pos="19710"/>
        </w:tabs>
        <w:jc w:val="both"/>
        <w:rPr>
          <w:szCs w:val="24"/>
        </w:rPr>
      </w:pPr>
      <w:bookmarkStart w:id="0" w:name="QuickMark"/>
      <w:bookmarkEnd w:id="0"/>
    </w:p>
    <w:p w:rsidR="001B4954" w:rsidRPr="007B3E3A" w:rsidRDefault="001B4954" w:rsidP="001B4954">
      <w:pPr>
        <w:tabs>
          <w:tab w:val="left" w:pos="0"/>
          <w:tab w:val="left" w:pos="360"/>
          <w:tab w:val="left" w:pos="996"/>
          <w:tab w:val="left" w:pos="1086"/>
          <w:tab w:val="left" w:pos="1440"/>
          <w:tab w:val="left" w:pos="2160"/>
          <w:tab w:val="left" w:pos="2880"/>
          <w:tab w:val="left" w:pos="3600"/>
          <w:tab w:val="left" w:pos="4680"/>
          <w:tab w:val="left" w:pos="5040"/>
          <w:tab w:val="left" w:pos="5760"/>
          <w:tab w:val="left" w:pos="6480"/>
          <w:tab w:val="left" w:pos="7200"/>
          <w:tab w:val="left" w:pos="7920"/>
          <w:tab w:val="left" w:pos="8640"/>
          <w:tab w:val="left" w:pos="9354"/>
          <w:tab w:val="left" w:pos="10076"/>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b/>
          <w:bCs/>
          <w:szCs w:val="24"/>
        </w:rPr>
      </w:pPr>
      <w:r w:rsidRPr="007B3E3A">
        <w:rPr>
          <w:b/>
          <w:bCs/>
          <w:szCs w:val="24"/>
        </w:rPr>
        <w:t>FIVE-YEAR REVIEWS</w:t>
      </w:r>
    </w:p>
    <w:p w:rsidR="001B4954" w:rsidRPr="007B3E3A" w:rsidRDefault="001B4954" w:rsidP="001B4954">
      <w:pPr>
        <w:tabs>
          <w:tab w:val="left" w:pos="0"/>
          <w:tab w:val="left" w:pos="360"/>
          <w:tab w:val="left" w:pos="996"/>
          <w:tab w:val="left" w:pos="1086"/>
          <w:tab w:val="left" w:pos="1440"/>
          <w:tab w:val="left" w:pos="2160"/>
          <w:tab w:val="left" w:pos="2880"/>
          <w:tab w:val="left" w:pos="3600"/>
          <w:tab w:val="left" w:pos="4680"/>
          <w:tab w:val="left" w:pos="5040"/>
          <w:tab w:val="left" w:pos="5760"/>
          <w:tab w:val="left" w:pos="6480"/>
          <w:tab w:val="left" w:pos="7200"/>
          <w:tab w:val="left" w:pos="7920"/>
          <w:tab w:val="left" w:pos="8640"/>
          <w:tab w:val="left" w:pos="9354"/>
          <w:tab w:val="left" w:pos="10076"/>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b/>
          <w:bCs/>
          <w:szCs w:val="24"/>
        </w:rPr>
      </w:pPr>
    </w:p>
    <w:p w:rsidR="001B4954" w:rsidRPr="007B3E3A" w:rsidRDefault="001B4954" w:rsidP="001B4954">
      <w:pPr>
        <w:tabs>
          <w:tab w:val="left" w:pos="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s>
        <w:jc w:val="both"/>
        <w:rPr>
          <w:color w:val="000000"/>
          <w:szCs w:val="24"/>
        </w:rPr>
      </w:pPr>
      <w:r w:rsidRPr="007B3E3A">
        <w:rPr>
          <w:color w:val="000000"/>
          <w:szCs w:val="24"/>
        </w:rPr>
        <w:t>Since hazardous substances, pollutants or contaminants remain at the Site which do not allow for unlimited use or unrestricted exposure</w:t>
      </w:r>
      <w:r w:rsidR="00C30900">
        <w:rPr>
          <w:color w:val="000000"/>
          <w:szCs w:val="24"/>
        </w:rPr>
        <w:t xml:space="preserve"> (UU/UE)</w:t>
      </w:r>
      <w:r w:rsidRPr="007B3E3A">
        <w:rPr>
          <w:color w:val="000000"/>
          <w:szCs w:val="24"/>
        </w:rPr>
        <w:t xml:space="preserve">, in accordance with 40 CFR 300.430 (f) (4) (ii), the remedy for the Site must be reviewed no less often than every five </w:t>
      </w:r>
      <w:r w:rsidR="000A39E6">
        <w:rPr>
          <w:color w:val="000000"/>
          <w:szCs w:val="24"/>
        </w:rPr>
        <w:t>years</w:t>
      </w:r>
      <w:r w:rsidRPr="007B3E3A">
        <w:rPr>
          <w:color w:val="000000"/>
          <w:szCs w:val="24"/>
        </w:rPr>
        <w:t xml:space="preserve"> </w:t>
      </w:r>
      <w:r w:rsidR="00C30900">
        <w:rPr>
          <w:color w:val="000000"/>
          <w:szCs w:val="24"/>
        </w:rPr>
        <w:t>until it is determined that the S</w:t>
      </w:r>
      <w:r w:rsidR="000A39E6" w:rsidRPr="000A39E6">
        <w:rPr>
          <w:color w:val="000000"/>
          <w:szCs w:val="24"/>
        </w:rPr>
        <w:t>ite is available for UU/UE</w:t>
      </w:r>
      <w:r w:rsidR="00C30900">
        <w:rPr>
          <w:color w:val="000000"/>
          <w:szCs w:val="24"/>
        </w:rPr>
        <w:t>.</w:t>
      </w:r>
    </w:p>
    <w:p w:rsidR="001B4954" w:rsidRPr="007B3E3A" w:rsidRDefault="001B4954" w:rsidP="001B4954">
      <w:pPr>
        <w:tabs>
          <w:tab w:val="left" w:pos="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s>
        <w:jc w:val="both"/>
        <w:rPr>
          <w:color w:val="000000"/>
          <w:szCs w:val="24"/>
        </w:rPr>
      </w:pPr>
    </w:p>
    <w:p w:rsidR="001B4954" w:rsidRPr="007B3E3A" w:rsidRDefault="001B4954" w:rsidP="001B4954">
      <w:pPr>
        <w:tabs>
          <w:tab w:val="left" w:pos="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s>
        <w:jc w:val="both"/>
        <w:rPr>
          <w:szCs w:val="24"/>
        </w:rPr>
      </w:pPr>
      <w:r w:rsidRPr="007B3E3A">
        <w:rPr>
          <w:color w:val="000000"/>
          <w:szCs w:val="24"/>
        </w:rPr>
        <w:t>Two five-year reviews have been conducted at the Site.  The most recent review, completed in September 2015, concluded that the remedy is functioning as intended by the decision documents and is protecting human health and the environment.  It is anticipated that the next five-year review will be completed by September 2020.</w:t>
      </w:r>
    </w:p>
    <w:p w:rsidR="001B4954" w:rsidRPr="007B3E3A" w:rsidRDefault="001B4954" w:rsidP="001B4954">
      <w:pPr>
        <w:tabs>
          <w:tab w:val="left" w:pos="0"/>
          <w:tab w:val="left" w:pos="360"/>
          <w:tab w:val="left" w:pos="996"/>
          <w:tab w:val="left" w:pos="1086"/>
          <w:tab w:val="left" w:pos="1440"/>
          <w:tab w:val="left" w:pos="2160"/>
          <w:tab w:val="left" w:pos="2880"/>
          <w:tab w:val="left" w:pos="3600"/>
          <w:tab w:val="left" w:pos="4680"/>
          <w:tab w:val="left" w:pos="5040"/>
          <w:tab w:val="left" w:pos="5760"/>
          <w:tab w:val="left" w:pos="6480"/>
          <w:tab w:val="left" w:pos="7200"/>
          <w:tab w:val="left" w:pos="7920"/>
          <w:tab w:val="left" w:pos="8640"/>
          <w:tab w:val="left" w:pos="9354"/>
          <w:tab w:val="left" w:pos="10076"/>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b/>
          <w:bCs/>
          <w:szCs w:val="24"/>
        </w:rPr>
      </w:pPr>
    </w:p>
    <w:p w:rsidR="001B4954" w:rsidRPr="007B3E3A" w:rsidRDefault="001B4954" w:rsidP="001B4954">
      <w:pPr>
        <w:tabs>
          <w:tab w:val="left" w:pos="0"/>
          <w:tab w:val="left" w:pos="360"/>
          <w:tab w:val="left" w:pos="996"/>
          <w:tab w:val="left" w:pos="1086"/>
          <w:tab w:val="left" w:pos="1440"/>
          <w:tab w:val="left" w:pos="2160"/>
          <w:tab w:val="left" w:pos="2880"/>
          <w:tab w:val="left" w:pos="3600"/>
          <w:tab w:val="left" w:pos="4680"/>
          <w:tab w:val="left" w:pos="5040"/>
          <w:tab w:val="left" w:pos="5760"/>
          <w:tab w:val="left" w:pos="6480"/>
          <w:tab w:val="left" w:pos="7200"/>
          <w:tab w:val="left" w:pos="7920"/>
          <w:tab w:val="left" w:pos="8640"/>
          <w:tab w:val="left" w:pos="9354"/>
          <w:tab w:val="left" w:pos="10076"/>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b/>
          <w:bCs/>
          <w:szCs w:val="24"/>
        </w:rPr>
      </w:pPr>
      <w:r w:rsidRPr="007B3E3A">
        <w:rPr>
          <w:b/>
          <w:bCs/>
          <w:szCs w:val="24"/>
        </w:rPr>
        <w:t>AFFIRMATION OF STATUTORY DETERMINATIONS</w:t>
      </w:r>
    </w:p>
    <w:p w:rsidR="001B4954" w:rsidRPr="007B3E3A" w:rsidRDefault="001B4954" w:rsidP="001B4954">
      <w:pPr>
        <w:tabs>
          <w:tab w:val="left" w:pos="0"/>
          <w:tab w:val="left" w:pos="360"/>
          <w:tab w:val="left" w:pos="996"/>
          <w:tab w:val="left" w:pos="1086"/>
          <w:tab w:val="left" w:pos="1440"/>
          <w:tab w:val="left" w:pos="2160"/>
          <w:tab w:val="left" w:pos="2880"/>
          <w:tab w:val="left" w:pos="3600"/>
          <w:tab w:val="left" w:pos="4680"/>
          <w:tab w:val="left" w:pos="5040"/>
          <w:tab w:val="left" w:pos="5760"/>
          <w:tab w:val="left" w:pos="6480"/>
          <w:tab w:val="left" w:pos="7200"/>
          <w:tab w:val="left" w:pos="7920"/>
          <w:tab w:val="left" w:pos="8640"/>
          <w:tab w:val="left" w:pos="9354"/>
          <w:tab w:val="left" w:pos="10076"/>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b/>
          <w:bCs/>
          <w:szCs w:val="24"/>
        </w:rPr>
      </w:pPr>
    </w:p>
    <w:p w:rsidR="001B4954" w:rsidRPr="007B3E3A" w:rsidRDefault="001B4954" w:rsidP="00993F7C">
      <w:pPr>
        <w:autoSpaceDE w:val="0"/>
        <w:autoSpaceDN w:val="0"/>
        <w:adjustRightInd w:val="0"/>
        <w:jc w:val="both"/>
        <w:rPr>
          <w:szCs w:val="24"/>
        </w:rPr>
      </w:pPr>
      <w:r w:rsidRPr="007B3E3A">
        <w:rPr>
          <w:szCs w:val="24"/>
        </w:rPr>
        <w:t>EPA is issuing this ESD after consultation with the NYSDEC</w:t>
      </w:r>
      <w:r w:rsidR="006211BC">
        <w:rPr>
          <w:szCs w:val="24"/>
        </w:rPr>
        <w:t xml:space="preserve"> and NYSDOH</w:t>
      </w:r>
      <w:r w:rsidRPr="007B3E3A">
        <w:rPr>
          <w:szCs w:val="24"/>
        </w:rPr>
        <w:t>. The NYSDEC</w:t>
      </w:r>
      <w:r w:rsidR="006211BC">
        <w:rPr>
          <w:szCs w:val="24"/>
        </w:rPr>
        <w:t>,</w:t>
      </w:r>
      <w:r w:rsidRPr="007B3E3A">
        <w:rPr>
          <w:szCs w:val="24"/>
        </w:rPr>
        <w:t xml:space="preserve"> </w:t>
      </w:r>
      <w:r w:rsidR="006211BC">
        <w:rPr>
          <w:szCs w:val="24"/>
        </w:rPr>
        <w:t xml:space="preserve">in consultation with NYSDOH, </w:t>
      </w:r>
      <w:r w:rsidRPr="007B3E3A">
        <w:rPr>
          <w:szCs w:val="24"/>
        </w:rPr>
        <w:t>concurs with the approach presented in this ESD.</w:t>
      </w:r>
      <w:r w:rsidR="006211BC">
        <w:rPr>
          <w:szCs w:val="24"/>
        </w:rPr>
        <w:t xml:space="preserve"> </w:t>
      </w:r>
      <w:r w:rsidRPr="007B3E3A">
        <w:rPr>
          <w:szCs w:val="24"/>
        </w:rPr>
        <w:t xml:space="preserve"> When implemented, the remedy, as modified by this ESD, will continue to be protective of human health and the environment, and will comply with federal and </w:t>
      </w:r>
      <w:r w:rsidRPr="007B3E3A">
        <w:rPr>
          <w:szCs w:val="24"/>
        </w:rPr>
        <w:t xml:space="preserve">state requirements that are legally applicable or relevant and appropriate to the remedial action.  The modified remedy is technically feasible, cost-effective and satisfies the statutory requirements of CERCLA by providing for a remedial action that </w:t>
      </w:r>
      <w:r w:rsidR="00A9274C">
        <w:rPr>
          <w:szCs w:val="24"/>
        </w:rPr>
        <w:t>includes</w:t>
      </w:r>
      <w:r w:rsidRPr="007B3E3A">
        <w:rPr>
          <w:szCs w:val="24"/>
        </w:rPr>
        <w:t xml:space="preserve"> treatment as a principal element and, therefore, permanently and significantly reduces the toxicity, mobility and volume of hazardous substances.    </w:t>
      </w:r>
    </w:p>
    <w:p w:rsidR="00EE5051" w:rsidRPr="007B3E3A" w:rsidRDefault="00EE5051" w:rsidP="00436B39">
      <w:pPr>
        <w:jc w:val="both"/>
        <w:rPr>
          <w:szCs w:val="24"/>
        </w:rPr>
      </w:pPr>
    </w:p>
    <w:p w:rsidR="00F936A7" w:rsidRDefault="00F936A7" w:rsidP="00436B39">
      <w:pPr>
        <w:jc w:val="both"/>
        <w:rPr>
          <w:b/>
          <w:szCs w:val="24"/>
        </w:rPr>
      </w:pPr>
    </w:p>
    <w:p w:rsidR="00EE5051" w:rsidRPr="007B3E3A" w:rsidRDefault="00EE5051" w:rsidP="00436B39">
      <w:pPr>
        <w:jc w:val="both"/>
        <w:rPr>
          <w:b/>
          <w:szCs w:val="24"/>
        </w:rPr>
      </w:pPr>
      <w:r w:rsidRPr="007B3E3A">
        <w:rPr>
          <w:b/>
          <w:szCs w:val="24"/>
        </w:rPr>
        <w:t>PUBLIC PARTICIPATION ACTIVITIES</w:t>
      </w:r>
    </w:p>
    <w:p w:rsidR="00EE5051" w:rsidRPr="007B3E3A" w:rsidRDefault="00EE5051" w:rsidP="00436B39">
      <w:pPr>
        <w:jc w:val="both"/>
        <w:rPr>
          <w:b/>
          <w:szCs w:val="24"/>
        </w:rPr>
      </w:pPr>
    </w:p>
    <w:p w:rsidR="001B4954" w:rsidRPr="007B3E3A" w:rsidRDefault="001B4954" w:rsidP="001B4954">
      <w:pPr>
        <w:tabs>
          <w:tab w:val="left" w:pos="0"/>
          <w:tab w:val="left" w:pos="360"/>
          <w:tab w:val="left" w:pos="996"/>
          <w:tab w:val="left" w:pos="1086"/>
          <w:tab w:val="left" w:pos="1440"/>
          <w:tab w:val="left" w:pos="2160"/>
          <w:tab w:val="left" w:pos="2880"/>
          <w:tab w:val="left" w:pos="3600"/>
          <w:tab w:val="left" w:pos="4320"/>
          <w:tab w:val="left" w:pos="5040"/>
          <w:tab w:val="left" w:pos="5760"/>
          <w:tab w:val="left" w:pos="6480"/>
          <w:tab w:val="left" w:pos="7200"/>
          <w:tab w:val="left" w:pos="7920"/>
          <w:tab w:val="left" w:pos="8640"/>
          <w:tab w:val="left" w:pos="9354"/>
          <w:tab w:val="left" w:pos="10076"/>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szCs w:val="24"/>
        </w:rPr>
      </w:pPr>
      <w:r w:rsidRPr="007B3E3A">
        <w:rPr>
          <w:color w:val="000000"/>
          <w:szCs w:val="24"/>
        </w:rPr>
        <w:t>EPA</w:t>
      </w:r>
      <w:r w:rsidR="00DC62AF">
        <w:rPr>
          <w:szCs w:val="24"/>
        </w:rPr>
        <w:t xml:space="preserve"> is </w:t>
      </w:r>
      <w:r w:rsidRPr="007B3E3A">
        <w:rPr>
          <w:szCs w:val="24"/>
        </w:rPr>
        <w:t>making this ESD available to the public to inform them of the change made to the remedy.  Should there be any questions regarding this ESD, please contact:</w:t>
      </w:r>
    </w:p>
    <w:p w:rsidR="00EE5051" w:rsidRPr="007B3E3A" w:rsidRDefault="00EE5051" w:rsidP="00436B39">
      <w:pPr>
        <w:jc w:val="both"/>
        <w:rPr>
          <w:szCs w:val="24"/>
        </w:rPr>
      </w:pPr>
    </w:p>
    <w:p w:rsidR="00EE5051" w:rsidRPr="007B3E3A" w:rsidRDefault="00EE5051" w:rsidP="00EE5051">
      <w:pPr>
        <w:jc w:val="center"/>
        <w:rPr>
          <w:szCs w:val="24"/>
        </w:rPr>
      </w:pPr>
      <w:r w:rsidRPr="007B3E3A">
        <w:rPr>
          <w:szCs w:val="24"/>
        </w:rPr>
        <w:t>Kevin Willis</w:t>
      </w:r>
    </w:p>
    <w:p w:rsidR="00EE5051" w:rsidRPr="007B3E3A" w:rsidRDefault="00EE5051" w:rsidP="00EE5051">
      <w:pPr>
        <w:jc w:val="center"/>
        <w:rPr>
          <w:szCs w:val="24"/>
        </w:rPr>
      </w:pPr>
      <w:r w:rsidRPr="007B3E3A">
        <w:rPr>
          <w:szCs w:val="24"/>
        </w:rPr>
        <w:t>Remedial Project Manager</w:t>
      </w:r>
    </w:p>
    <w:p w:rsidR="00EE5051" w:rsidRPr="007B3E3A" w:rsidRDefault="00EE5051" w:rsidP="00EE5051">
      <w:pPr>
        <w:jc w:val="center"/>
        <w:rPr>
          <w:szCs w:val="24"/>
        </w:rPr>
      </w:pPr>
      <w:r w:rsidRPr="007B3E3A">
        <w:rPr>
          <w:szCs w:val="24"/>
        </w:rPr>
        <w:t>Eastern New York Remediation Section</w:t>
      </w:r>
    </w:p>
    <w:p w:rsidR="00EE5051" w:rsidRPr="007B3E3A" w:rsidRDefault="00EE5051" w:rsidP="00EE5051">
      <w:pPr>
        <w:jc w:val="center"/>
        <w:rPr>
          <w:szCs w:val="24"/>
        </w:rPr>
      </w:pPr>
      <w:r w:rsidRPr="007B3E3A">
        <w:rPr>
          <w:szCs w:val="24"/>
        </w:rPr>
        <w:t>U.S. Environmental Protection Agency</w:t>
      </w:r>
    </w:p>
    <w:p w:rsidR="00EE5051" w:rsidRPr="007B3E3A" w:rsidRDefault="00EE5051" w:rsidP="00EE5051">
      <w:pPr>
        <w:jc w:val="center"/>
        <w:rPr>
          <w:szCs w:val="24"/>
        </w:rPr>
      </w:pPr>
      <w:r w:rsidRPr="007B3E3A">
        <w:rPr>
          <w:szCs w:val="24"/>
        </w:rPr>
        <w:t>290 Broadway, 20'" Floor</w:t>
      </w:r>
    </w:p>
    <w:p w:rsidR="00EE5051" w:rsidRPr="007B3E3A" w:rsidRDefault="00EE5051" w:rsidP="00EE5051">
      <w:pPr>
        <w:jc w:val="center"/>
        <w:rPr>
          <w:szCs w:val="24"/>
        </w:rPr>
      </w:pPr>
      <w:r w:rsidRPr="007B3E3A">
        <w:rPr>
          <w:szCs w:val="24"/>
        </w:rPr>
        <w:t>New York, New York 10007-1866</w:t>
      </w:r>
    </w:p>
    <w:p w:rsidR="00EE5051" w:rsidRPr="007B3E3A" w:rsidRDefault="00EE5051" w:rsidP="00EE5051">
      <w:pPr>
        <w:jc w:val="center"/>
        <w:rPr>
          <w:szCs w:val="24"/>
        </w:rPr>
      </w:pPr>
      <w:r w:rsidRPr="007B3E3A">
        <w:rPr>
          <w:szCs w:val="24"/>
        </w:rPr>
        <w:t>Telephone: (212) 637-4252</w:t>
      </w:r>
    </w:p>
    <w:p w:rsidR="00EE5051" w:rsidRPr="007B3E3A" w:rsidRDefault="00EE5051" w:rsidP="00EE5051">
      <w:pPr>
        <w:jc w:val="center"/>
        <w:rPr>
          <w:szCs w:val="24"/>
        </w:rPr>
      </w:pPr>
      <w:r w:rsidRPr="007B3E3A">
        <w:rPr>
          <w:szCs w:val="24"/>
        </w:rPr>
        <w:t>Facsimile: (212)637-3966</w:t>
      </w:r>
    </w:p>
    <w:p w:rsidR="00BD513F" w:rsidRPr="007B3E3A" w:rsidRDefault="00BD513F" w:rsidP="00436B39">
      <w:pPr>
        <w:jc w:val="both"/>
        <w:rPr>
          <w:szCs w:val="24"/>
        </w:rPr>
      </w:pPr>
    </w:p>
    <w:p w:rsidR="00452DE9" w:rsidRPr="007B3E3A" w:rsidRDefault="00452DE9" w:rsidP="00436B39">
      <w:pPr>
        <w:jc w:val="both"/>
        <w:rPr>
          <w:szCs w:val="24"/>
        </w:rPr>
      </w:pPr>
    </w:p>
    <w:p w:rsidR="001B4954" w:rsidRPr="007B3E3A" w:rsidRDefault="001B4954" w:rsidP="001B4954">
      <w:pPr>
        <w:tabs>
          <w:tab w:val="left" w:pos="-1440"/>
          <w:tab w:val="left" w:pos="-720"/>
          <w:tab w:val="left" w:pos="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both"/>
        <w:rPr>
          <w:szCs w:val="24"/>
        </w:rPr>
      </w:pPr>
      <w:r w:rsidRPr="007B3E3A">
        <w:rPr>
          <w:bCs/>
          <w:color w:val="000000"/>
          <w:szCs w:val="24"/>
        </w:rPr>
        <w:t xml:space="preserve">With the publication of this ESD, the public participation requirements set out in </w:t>
      </w:r>
      <w:r w:rsidRPr="007B3E3A">
        <w:rPr>
          <w:color w:val="000000"/>
          <w:szCs w:val="24"/>
        </w:rPr>
        <w:t>§300.4</w:t>
      </w:r>
      <w:r w:rsidRPr="007B3E3A">
        <w:rPr>
          <w:color w:val="000000"/>
          <w:szCs w:val="24"/>
        </w:rPr>
        <w:softHyphen/>
        <w:t>35(c)(2)(</w:t>
      </w:r>
      <w:proofErr w:type="spellStart"/>
      <w:r w:rsidRPr="007B3E3A">
        <w:rPr>
          <w:color w:val="000000"/>
          <w:szCs w:val="24"/>
        </w:rPr>
        <w:t>i</w:t>
      </w:r>
      <w:proofErr w:type="spellEnd"/>
      <w:r w:rsidRPr="007B3E3A">
        <w:rPr>
          <w:color w:val="000000"/>
          <w:szCs w:val="24"/>
        </w:rPr>
        <w:t>) of the</w:t>
      </w:r>
      <w:r w:rsidRPr="007B3E3A">
        <w:rPr>
          <w:bCs/>
          <w:color w:val="000000"/>
          <w:szCs w:val="24"/>
        </w:rPr>
        <w:t xml:space="preserve"> NCP have been met.</w:t>
      </w:r>
    </w:p>
    <w:p w:rsidR="00452DE9" w:rsidRDefault="00452DE9" w:rsidP="00436B39">
      <w:pPr>
        <w:jc w:val="both"/>
      </w:pPr>
    </w:p>
    <w:p w:rsidR="00344F1B" w:rsidRDefault="00344F1B">
      <w:pPr>
        <w:spacing w:after="160" w:line="259" w:lineRule="auto"/>
      </w:pPr>
      <w:r>
        <w:br w:type="page"/>
      </w:r>
    </w:p>
    <w:p w:rsidR="00436B39" w:rsidRDefault="00436B39" w:rsidP="00436B39">
      <w:pPr>
        <w:jc w:val="both"/>
      </w:pPr>
    </w:p>
    <w:p w:rsidR="00436B39" w:rsidRPr="00436B39" w:rsidRDefault="00CD435D" w:rsidP="00436B39">
      <w:pPr>
        <w:jc w:val="both"/>
      </w:pPr>
      <w:bookmarkStart w:id="1" w:name="_GoBack"/>
      <w:r>
        <w:rPr>
          <w:noProof/>
        </w:rPr>
        <w:drawing>
          <wp:anchor distT="0" distB="0" distL="114300" distR="114300" simplePos="0" relativeHeight="251658240" behindDoc="1" locked="0" layoutInCell="1" allowOverlap="1">
            <wp:simplePos x="0" y="0"/>
            <wp:positionH relativeFrom="margin">
              <wp:posOffset>-1252537</wp:posOffset>
            </wp:positionH>
            <wp:positionV relativeFrom="paragraph">
              <wp:posOffset>782002</wp:posOffset>
            </wp:positionV>
            <wp:extent cx="9372595" cy="7245139"/>
            <wp:effectExtent l="0" t="3175"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enzale - Resident Map (002).jpg"/>
                    <pic:cNvPicPr/>
                  </pic:nvPicPr>
                  <pic:blipFill>
                    <a:blip r:embed="rId8">
                      <a:extLst>
                        <a:ext uri="{28A0092B-C50C-407E-A947-70E740481C1C}">
                          <a14:useLocalDpi xmlns:a14="http://schemas.microsoft.com/office/drawing/2010/main" val="0"/>
                        </a:ext>
                      </a:extLst>
                    </a:blip>
                    <a:stretch>
                      <a:fillRect/>
                    </a:stretch>
                  </pic:blipFill>
                  <pic:spPr>
                    <a:xfrm rot="5400000">
                      <a:off x="0" y="0"/>
                      <a:ext cx="9372595" cy="7245139"/>
                    </a:xfrm>
                    <a:prstGeom prst="rect">
                      <a:avLst/>
                    </a:prstGeom>
                  </pic:spPr>
                </pic:pic>
              </a:graphicData>
            </a:graphic>
            <wp14:sizeRelH relativeFrom="margin">
              <wp14:pctWidth>0</wp14:pctWidth>
            </wp14:sizeRelH>
            <wp14:sizeRelV relativeFrom="margin">
              <wp14:pctHeight>0</wp14:pctHeight>
            </wp14:sizeRelV>
          </wp:anchor>
        </w:drawing>
      </w:r>
      <w:bookmarkEnd w:id="1"/>
    </w:p>
    <w:sectPr w:rsidR="00436B39" w:rsidRPr="00436B39" w:rsidSect="00436B39">
      <w:footerReference w:type="default" r:id="rId9"/>
      <w:headerReference w:type="first" r:id="rId10"/>
      <w:pgSz w:w="12240" w:h="15840"/>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205" w:rsidRDefault="00420205" w:rsidP="00436B39">
      <w:r>
        <w:separator/>
      </w:r>
    </w:p>
  </w:endnote>
  <w:endnote w:type="continuationSeparator" w:id="0">
    <w:p w:rsidR="00420205" w:rsidRDefault="00420205" w:rsidP="00436B39">
      <w:r>
        <w:continuationSeparator/>
      </w:r>
    </w:p>
  </w:endnote>
  <w:endnote w:type="continuationNotice" w:id="1">
    <w:p w:rsidR="00420205" w:rsidRDefault="00420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116488"/>
      <w:docPartObj>
        <w:docPartGallery w:val="Page Numbers (Bottom of Page)"/>
        <w:docPartUnique/>
      </w:docPartObj>
    </w:sdtPr>
    <w:sdtEndPr>
      <w:rPr>
        <w:noProof/>
      </w:rPr>
    </w:sdtEndPr>
    <w:sdtContent>
      <w:p w:rsidR="00CF64ED" w:rsidRDefault="00F5417D">
        <w:pPr>
          <w:pStyle w:val="Footer"/>
          <w:jc w:val="center"/>
        </w:pPr>
        <w:r>
          <w:fldChar w:fldCharType="begin"/>
        </w:r>
        <w:r w:rsidR="00CF64ED">
          <w:instrText xml:space="preserve"> PAGE   \* MERGEFORMAT </w:instrText>
        </w:r>
        <w:r>
          <w:fldChar w:fldCharType="separate"/>
        </w:r>
        <w:r w:rsidR="006626A2">
          <w:rPr>
            <w:noProof/>
          </w:rPr>
          <w:t>5</w:t>
        </w:r>
        <w:r>
          <w:rPr>
            <w:noProof/>
          </w:rPr>
          <w:fldChar w:fldCharType="end"/>
        </w:r>
      </w:p>
    </w:sdtContent>
  </w:sdt>
  <w:p w:rsidR="00CF64ED" w:rsidRDefault="00CF6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205" w:rsidRDefault="00420205" w:rsidP="00436B39">
      <w:r>
        <w:separator/>
      </w:r>
    </w:p>
  </w:footnote>
  <w:footnote w:type="continuationSeparator" w:id="0">
    <w:p w:rsidR="00420205" w:rsidRDefault="00420205" w:rsidP="00436B39">
      <w:r>
        <w:continuationSeparator/>
      </w:r>
    </w:p>
  </w:footnote>
  <w:footnote w:type="continuationNotice" w:id="1">
    <w:p w:rsidR="00420205" w:rsidRDefault="00420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122"/>
      <w:tblW w:w="10890" w:type="dxa"/>
      <w:tblLayout w:type="fixed"/>
      <w:tblCellMar>
        <w:left w:w="60" w:type="dxa"/>
        <w:right w:w="60" w:type="dxa"/>
      </w:tblCellMar>
      <w:tblLook w:val="0000" w:firstRow="0" w:lastRow="0" w:firstColumn="0" w:lastColumn="0" w:noHBand="0" w:noVBand="0"/>
    </w:tblPr>
    <w:tblGrid>
      <w:gridCol w:w="2040"/>
      <w:gridCol w:w="8850"/>
    </w:tblGrid>
    <w:tr w:rsidR="00436B39" w:rsidRPr="006F6405" w:rsidTr="008E3A4E">
      <w:trPr>
        <w:cantSplit/>
        <w:trHeight w:hRule="exact" w:val="1830"/>
      </w:trPr>
      <w:tc>
        <w:tcPr>
          <w:tcW w:w="2040" w:type="dxa"/>
          <w:tcBorders>
            <w:top w:val="double" w:sz="16" w:space="0" w:color="000000"/>
            <w:left w:val="nil"/>
            <w:bottom w:val="nil"/>
            <w:right w:val="nil"/>
          </w:tcBorders>
        </w:tcPr>
        <w:p w:rsidR="00436B39" w:rsidRPr="006F6405" w:rsidRDefault="00436B39" w:rsidP="00436B39">
          <w:pPr>
            <w:ind w:right="2510"/>
            <w:jc w:val="right"/>
            <w:rPr>
              <w:rFonts w:ascii="Arial" w:hAnsi="Arial" w:cs="Arial"/>
              <w:szCs w:val="24"/>
            </w:rPr>
          </w:pPr>
          <w:r w:rsidRPr="006F6405">
            <w:rPr>
              <w:rFonts w:ascii="Arial" w:hAnsi="Arial" w:cs="Arial"/>
              <w:noProof/>
              <w:szCs w:val="24"/>
            </w:rPr>
            <w:drawing>
              <wp:inline distT="0" distB="0" distL="0" distR="0">
                <wp:extent cx="1104900" cy="1094477"/>
                <wp:effectExtent l="0" t="0" r="0" b="0"/>
                <wp:docPr id="4" name="Picture 4" descr="C:\Users\Lthantu\Documents\Thantu\Li Tungsten 3\ESD\EP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thantu\Documents\Thantu\Li Tungsten 3\ESD\EPA 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926" cy="1098465"/>
                        </a:xfrm>
                        <a:prstGeom prst="rect">
                          <a:avLst/>
                        </a:prstGeom>
                        <a:noFill/>
                        <a:ln>
                          <a:noFill/>
                        </a:ln>
                      </pic:spPr>
                    </pic:pic>
                  </a:graphicData>
                </a:graphic>
              </wp:inline>
            </w:drawing>
          </w:r>
          <w:r w:rsidRPr="006F6405">
            <w:rPr>
              <w:rFonts w:ascii="Arial" w:hAnsi="Arial" w:cs="Arial"/>
              <w:szCs w:val="24"/>
            </w:rPr>
            <w:tab/>
          </w:r>
          <w:r w:rsidRPr="006F6405">
            <w:rPr>
              <w:rFonts w:ascii="Arial" w:hAnsi="Arial" w:cs="Arial"/>
              <w:szCs w:val="24"/>
            </w:rPr>
            <w:tab/>
          </w:r>
          <w:r w:rsidRPr="006F6405">
            <w:rPr>
              <w:rFonts w:ascii="Arial" w:hAnsi="Arial" w:cs="Arial"/>
              <w:szCs w:val="24"/>
            </w:rPr>
            <w:tab/>
          </w:r>
          <w:r w:rsidRPr="006F6405">
            <w:rPr>
              <w:rFonts w:ascii="Arial" w:hAnsi="Arial" w:cs="Arial"/>
              <w:szCs w:val="24"/>
            </w:rPr>
            <w:tab/>
          </w:r>
          <w:r w:rsidRPr="006F6405">
            <w:rPr>
              <w:rFonts w:ascii="Arial" w:hAnsi="Arial" w:cs="Arial"/>
              <w:szCs w:val="24"/>
            </w:rPr>
            <w:tab/>
          </w:r>
        </w:p>
      </w:tc>
      <w:tc>
        <w:tcPr>
          <w:tcW w:w="8850" w:type="dxa"/>
          <w:tcBorders>
            <w:top w:val="double" w:sz="16" w:space="0" w:color="000000"/>
            <w:left w:val="nil"/>
            <w:bottom w:val="nil"/>
            <w:right w:val="nil"/>
          </w:tcBorders>
        </w:tcPr>
        <w:p w:rsidR="00436B39" w:rsidRPr="00CB0120" w:rsidRDefault="00436B39" w:rsidP="00436B39">
          <w:pPr>
            <w:spacing w:before="72"/>
            <w:ind w:left="-30" w:hanging="2640"/>
            <w:jc w:val="center"/>
            <w:rPr>
              <w:rFonts w:ascii="Arial" w:hAnsi="Arial" w:cs="Arial"/>
              <w:b/>
              <w:sz w:val="32"/>
              <w:szCs w:val="32"/>
            </w:rPr>
          </w:pPr>
          <w:r w:rsidRPr="006F6405">
            <w:rPr>
              <w:rFonts w:ascii="Arial" w:hAnsi="Arial" w:cs="Arial"/>
              <w:sz w:val="34"/>
              <w:szCs w:val="34"/>
            </w:rPr>
            <w:t xml:space="preserve">           </w:t>
          </w:r>
          <w:r>
            <w:rPr>
              <w:rFonts w:ascii="Arial" w:hAnsi="Arial" w:cs="Arial"/>
              <w:sz w:val="34"/>
              <w:szCs w:val="34"/>
            </w:rPr>
            <w:t xml:space="preserve">   </w:t>
          </w:r>
          <w:r w:rsidRPr="006F6405">
            <w:rPr>
              <w:rFonts w:ascii="Arial" w:hAnsi="Arial" w:cs="Arial"/>
              <w:sz w:val="34"/>
              <w:szCs w:val="34"/>
            </w:rPr>
            <w:t xml:space="preserve"> </w:t>
          </w:r>
          <w:r>
            <w:t xml:space="preserve">                  </w:t>
          </w:r>
          <w:r>
            <w:rPr>
              <w:rFonts w:ascii="Arial" w:hAnsi="Arial" w:cs="Arial"/>
              <w:b/>
              <w:sz w:val="32"/>
              <w:szCs w:val="32"/>
            </w:rPr>
            <w:t>Explanation of Significant Differences</w:t>
          </w:r>
        </w:p>
        <w:p w:rsidR="00436B39" w:rsidRPr="006F6405" w:rsidRDefault="00436B39" w:rsidP="00436B39">
          <w:pPr>
            <w:jc w:val="center"/>
            <w:rPr>
              <w:rFonts w:ascii="Arial" w:hAnsi="Arial" w:cs="Arial"/>
              <w:sz w:val="32"/>
              <w:szCs w:val="32"/>
            </w:rPr>
          </w:pPr>
        </w:p>
        <w:p w:rsidR="00436B39" w:rsidRDefault="00436B39" w:rsidP="00436B39">
          <w:pPr>
            <w:ind w:hanging="1110"/>
            <w:jc w:val="center"/>
            <w:rPr>
              <w:rFonts w:ascii="Arial" w:hAnsi="Arial" w:cs="Arial"/>
              <w:sz w:val="32"/>
              <w:szCs w:val="32"/>
            </w:rPr>
          </w:pPr>
          <w:r>
            <w:rPr>
              <w:rFonts w:ascii="Arial" w:hAnsi="Arial" w:cs="Arial"/>
              <w:sz w:val="32"/>
              <w:szCs w:val="32"/>
            </w:rPr>
            <w:t xml:space="preserve">           GENZALE PLATING SUPERFUND SITE</w:t>
          </w:r>
        </w:p>
        <w:p w:rsidR="00436B39" w:rsidRPr="00CB0120" w:rsidRDefault="00436B39" w:rsidP="00436B39">
          <w:pPr>
            <w:ind w:hanging="1110"/>
            <w:jc w:val="center"/>
            <w:rPr>
              <w:rFonts w:ascii="Arial" w:hAnsi="Arial" w:cs="Arial"/>
              <w:b/>
              <w:szCs w:val="24"/>
            </w:rPr>
          </w:pPr>
          <w:r>
            <w:rPr>
              <w:rFonts w:ascii="Arial" w:hAnsi="Arial" w:cs="Arial"/>
              <w:b/>
              <w:sz w:val="32"/>
              <w:szCs w:val="32"/>
            </w:rPr>
            <w:t xml:space="preserve">        Town of Hempstead, Nassau County, New York</w:t>
          </w:r>
        </w:p>
      </w:tc>
    </w:tr>
    <w:tr w:rsidR="00436B39" w:rsidRPr="006F6405" w:rsidTr="008E3A4E">
      <w:trPr>
        <w:cantSplit/>
        <w:trHeight w:val="421"/>
      </w:trPr>
      <w:tc>
        <w:tcPr>
          <w:tcW w:w="10890" w:type="dxa"/>
          <w:gridSpan w:val="2"/>
          <w:tcBorders>
            <w:top w:val="nil"/>
            <w:left w:val="nil"/>
            <w:bottom w:val="double" w:sz="16" w:space="0" w:color="000000"/>
            <w:right w:val="nil"/>
          </w:tcBorders>
        </w:tcPr>
        <w:p w:rsidR="00436B39" w:rsidRPr="006F6405" w:rsidRDefault="00436B39" w:rsidP="00436B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 w:line="180" w:lineRule="auto"/>
            <w:rPr>
              <w:rFonts w:ascii="Arial" w:hAnsi="Arial" w:cs="Arial"/>
              <w:szCs w:val="22"/>
            </w:rPr>
          </w:pPr>
        </w:p>
        <w:p w:rsidR="00436B39" w:rsidRPr="006F6405" w:rsidRDefault="00436B39" w:rsidP="007C1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
            <w:ind w:left="8640" w:hanging="8640"/>
            <w:rPr>
              <w:rFonts w:ascii="Arial" w:hAnsi="Arial" w:cs="Arial"/>
              <w:szCs w:val="22"/>
            </w:rPr>
          </w:pPr>
          <w:r w:rsidRPr="006F6405">
            <w:rPr>
              <w:rFonts w:ascii="Arial" w:hAnsi="Arial" w:cs="Arial"/>
              <w:sz w:val="22"/>
              <w:szCs w:val="22"/>
            </w:rPr>
            <w:t>EPA Region 2</w:t>
          </w:r>
          <w:r w:rsidR="009D69E9">
            <w:rPr>
              <w:rFonts w:ascii="Arial" w:hAnsi="Arial" w:cs="Arial"/>
              <w:szCs w:val="24"/>
            </w:rPr>
            <w:tab/>
          </w:r>
          <w:r w:rsidR="009D69E9">
            <w:rPr>
              <w:rFonts w:ascii="Arial" w:hAnsi="Arial" w:cs="Arial"/>
              <w:szCs w:val="24"/>
            </w:rPr>
            <w:tab/>
          </w:r>
          <w:r w:rsidR="009D69E9">
            <w:rPr>
              <w:rFonts w:ascii="Arial" w:hAnsi="Arial" w:cs="Arial"/>
              <w:szCs w:val="24"/>
            </w:rPr>
            <w:tab/>
          </w:r>
          <w:r w:rsidR="009D69E9">
            <w:rPr>
              <w:rFonts w:ascii="Arial" w:hAnsi="Arial" w:cs="Arial"/>
              <w:szCs w:val="24"/>
            </w:rPr>
            <w:tab/>
          </w:r>
          <w:r w:rsidR="009D69E9">
            <w:rPr>
              <w:rFonts w:ascii="Arial" w:hAnsi="Arial" w:cs="Arial"/>
              <w:szCs w:val="24"/>
            </w:rPr>
            <w:tab/>
          </w:r>
          <w:r w:rsidR="009D69E9">
            <w:rPr>
              <w:rFonts w:ascii="Arial" w:hAnsi="Arial" w:cs="Arial"/>
              <w:szCs w:val="24"/>
            </w:rPr>
            <w:tab/>
          </w:r>
          <w:r w:rsidR="009D69E9">
            <w:rPr>
              <w:rFonts w:ascii="Arial" w:hAnsi="Arial" w:cs="Arial"/>
              <w:szCs w:val="24"/>
            </w:rPr>
            <w:tab/>
          </w:r>
          <w:r w:rsidR="009D69E9">
            <w:rPr>
              <w:rFonts w:ascii="Arial" w:hAnsi="Arial" w:cs="Arial"/>
              <w:szCs w:val="24"/>
            </w:rPr>
            <w:tab/>
          </w:r>
          <w:r w:rsidR="009D69E9">
            <w:rPr>
              <w:rFonts w:ascii="Arial" w:hAnsi="Arial" w:cs="Arial"/>
              <w:szCs w:val="24"/>
            </w:rPr>
            <w:tab/>
            <w:t xml:space="preserve">                       </w:t>
          </w:r>
          <w:r w:rsidR="007C1185">
            <w:rPr>
              <w:rFonts w:ascii="Arial" w:hAnsi="Arial" w:cs="Arial"/>
              <w:szCs w:val="24"/>
            </w:rPr>
            <w:t>March 2017</w:t>
          </w:r>
        </w:p>
      </w:tc>
    </w:tr>
  </w:tbl>
  <w:p w:rsidR="00436B39" w:rsidRPr="00F936A7" w:rsidRDefault="00436B39" w:rsidP="00C85D89">
    <w:pPr>
      <w:pStyle w:val="Header"/>
      <w:jc w:val="center"/>
      <w:rPr>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1F7E"/>
    <w:multiLevelType w:val="hybridMultilevel"/>
    <w:tmpl w:val="B566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64D68"/>
    <w:multiLevelType w:val="hybridMultilevel"/>
    <w:tmpl w:val="BF2A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83A38"/>
    <w:multiLevelType w:val="hybridMultilevel"/>
    <w:tmpl w:val="7ED2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39"/>
    <w:rsid w:val="00003E10"/>
    <w:rsid w:val="00023BF4"/>
    <w:rsid w:val="0007781C"/>
    <w:rsid w:val="00080110"/>
    <w:rsid w:val="000A39E6"/>
    <w:rsid w:val="000C6718"/>
    <w:rsid w:val="000D139B"/>
    <w:rsid w:val="00124FDC"/>
    <w:rsid w:val="0013323D"/>
    <w:rsid w:val="00144B6E"/>
    <w:rsid w:val="00174690"/>
    <w:rsid w:val="00177133"/>
    <w:rsid w:val="00182B5A"/>
    <w:rsid w:val="001B4954"/>
    <w:rsid w:val="001B797E"/>
    <w:rsid w:val="001C4153"/>
    <w:rsid w:val="002301F0"/>
    <w:rsid w:val="002471E0"/>
    <w:rsid w:val="0024730E"/>
    <w:rsid w:val="00252FBB"/>
    <w:rsid w:val="0025328C"/>
    <w:rsid w:val="00272339"/>
    <w:rsid w:val="002B1A3E"/>
    <w:rsid w:val="002D31A3"/>
    <w:rsid w:val="002F0F2E"/>
    <w:rsid w:val="002F71D0"/>
    <w:rsid w:val="003065E1"/>
    <w:rsid w:val="0034300D"/>
    <w:rsid w:val="00344F1B"/>
    <w:rsid w:val="00351995"/>
    <w:rsid w:val="00353A49"/>
    <w:rsid w:val="00387A8F"/>
    <w:rsid w:val="0039401F"/>
    <w:rsid w:val="003955BE"/>
    <w:rsid w:val="00420205"/>
    <w:rsid w:val="00421C86"/>
    <w:rsid w:val="0042255A"/>
    <w:rsid w:val="00436B39"/>
    <w:rsid w:val="004377E1"/>
    <w:rsid w:val="00443ABB"/>
    <w:rsid w:val="00451AF8"/>
    <w:rsid w:val="00452DE9"/>
    <w:rsid w:val="0047646D"/>
    <w:rsid w:val="00490EB9"/>
    <w:rsid w:val="004D7D24"/>
    <w:rsid w:val="0058778C"/>
    <w:rsid w:val="005B5136"/>
    <w:rsid w:val="005C19B6"/>
    <w:rsid w:val="006004F5"/>
    <w:rsid w:val="006211BC"/>
    <w:rsid w:val="006220CF"/>
    <w:rsid w:val="006626A2"/>
    <w:rsid w:val="006644CA"/>
    <w:rsid w:val="006701D4"/>
    <w:rsid w:val="00686B94"/>
    <w:rsid w:val="007028C6"/>
    <w:rsid w:val="00714B35"/>
    <w:rsid w:val="007331B7"/>
    <w:rsid w:val="00735D3B"/>
    <w:rsid w:val="007431D8"/>
    <w:rsid w:val="00752E75"/>
    <w:rsid w:val="0076688D"/>
    <w:rsid w:val="007811D8"/>
    <w:rsid w:val="0079108D"/>
    <w:rsid w:val="00793F95"/>
    <w:rsid w:val="007B3E3A"/>
    <w:rsid w:val="007C1185"/>
    <w:rsid w:val="007C261F"/>
    <w:rsid w:val="007E44EA"/>
    <w:rsid w:val="008108DB"/>
    <w:rsid w:val="008277B6"/>
    <w:rsid w:val="00850B23"/>
    <w:rsid w:val="00880983"/>
    <w:rsid w:val="00880EF4"/>
    <w:rsid w:val="008A45D0"/>
    <w:rsid w:val="008B1B6A"/>
    <w:rsid w:val="008C6D3F"/>
    <w:rsid w:val="008F4959"/>
    <w:rsid w:val="009166BF"/>
    <w:rsid w:val="00920292"/>
    <w:rsid w:val="009206FA"/>
    <w:rsid w:val="00925465"/>
    <w:rsid w:val="0096459E"/>
    <w:rsid w:val="00974212"/>
    <w:rsid w:val="00982F2B"/>
    <w:rsid w:val="00993F7C"/>
    <w:rsid w:val="00997E23"/>
    <w:rsid w:val="009B553C"/>
    <w:rsid w:val="009B650A"/>
    <w:rsid w:val="009D6692"/>
    <w:rsid w:val="009D69E9"/>
    <w:rsid w:val="00A13F7C"/>
    <w:rsid w:val="00A505AE"/>
    <w:rsid w:val="00A839CF"/>
    <w:rsid w:val="00A9274C"/>
    <w:rsid w:val="00B07447"/>
    <w:rsid w:val="00B2659B"/>
    <w:rsid w:val="00B27CAB"/>
    <w:rsid w:val="00B72E2E"/>
    <w:rsid w:val="00B762D7"/>
    <w:rsid w:val="00BB2FFB"/>
    <w:rsid w:val="00BD513F"/>
    <w:rsid w:val="00C21DDC"/>
    <w:rsid w:val="00C22E88"/>
    <w:rsid w:val="00C30900"/>
    <w:rsid w:val="00C35797"/>
    <w:rsid w:val="00C42DAE"/>
    <w:rsid w:val="00C85D89"/>
    <w:rsid w:val="00C90355"/>
    <w:rsid w:val="00CC17BF"/>
    <w:rsid w:val="00CD435D"/>
    <w:rsid w:val="00CD6612"/>
    <w:rsid w:val="00CF64ED"/>
    <w:rsid w:val="00D02063"/>
    <w:rsid w:val="00D05845"/>
    <w:rsid w:val="00D15741"/>
    <w:rsid w:val="00D440BB"/>
    <w:rsid w:val="00D508F1"/>
    <w:rsid w:val="00D53578"/>
    <w:rsid w:val="00D72E5C"/>
    <w:rsid w:val="00D76573"/>
    <w:rsid w:val="00D80820"/>
    <w:rsid w:val="00DA22BA"/>
    <w:rsid w:val="00DA428A"/>
    <w:rsid w:val="00DC3573"/>
    <w:rsid w:val="00DC62AF"/>
    <w:rsid w:val="00DD5C07"/>
    <w:rsid w:val="00DE553A"/>
    <w:rsid w:val="00DF134B"/>
    <w:rsid w:val="00DF7921"/>
    <w:rsid w:val="00E2501F"/>
    <w:rsid w:val="00E3086D"/>
    <w:rsid w:val="00E33EFD"/>
    <w:rsid w:val="00E703BF"/>
    <w:rsid w:val="00E95765"/>
    <w:rsid w:val="00EE5051"/>
    <w:rsid w:val="00EF1D3B"/>
    <w:rsid w:val="00F26630"/>
    <w:rsid w:val="00F31F0F"/>
    <w:rsid w:val="00F5417D"/>
    <w:rsid w:val="00F667CF"/>
    <w:rsid w:val="00F67A91"/>
    <w:rsid w:val="00F70C8B"/>
    <w:rsid w:val="00F913FD"/>
    <w:rsid w:val="00F936A7"/>
    <w:rsid w:val="00F97A89"/>
    <w:rsid w:val="00FA01B8"/>
    <w:rsid w:val="00FD40D2"/>
    <w:rsid w:val="00FE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98E047"/>
  <w15:docId w15:val="{AD212C12-4510-4213-89CA-D4779C25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36B3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B39"/>
    <w:pPr>
      <w:tabs>
        <w:tab w:val="center" w:pos="4680"/>
        <w:tab w:val="right" w:pos="9360"/>
      </w:tabs>
    </w:pPr>
  </w:style>
  <w:style w:type="character" w:customStyle="1" w:styleId="HeaderChar">
    <w:name w:val="Header Char"/>
    <w:basedOn w:val="DefaultParagraphFont"/>
    <w:link w:val="Header"/>
    <w:uiPriority w:val="99"/>
    <w:rsid w:val="00436B3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36B39"/>
    <w:pPr>
      <w:tabs>
        <w:tab w:val="center" w:pos="4680"/>
        <w:tab w:val="right" w:pos="9360"/>
      </w:tabs>
    </w:pPr>
  </w:style>
  <w:style w:type="character" w:customStyle="1" w:styleId="FooterChar">
    <w:name w:val="Footer Char"/>
    <w:basedOn w:val="DefaultParagraphFont"/>
    <w:link w:val="Footer"/>
    <w:uiPriority w:val="99"/>
    <w:rsid w:val="00436B39"/>
    <w:rPr>
      <w:rFonts w:ascii="Times New Roman" w:eastAsia="Times New Roman" w:hAnsi="Times New Roman" w:cs="Times New Roman"/>
      <w:sz w:val="24"/>
      <w:szCs w:val="20"/>
    </w:rPr>
  </w:style>
  <w:style w:type="paragraph" w:styleId="ListParagraph">
    <w:name w:val="List Paragraph"/>
    <w:basedOn w:val="Normal"/>
    <w:uiPriority w:val="34"/>
    <w:qFormat/>
    <w:rsid w:val="00997E23"/>
    <w:pPr>
      <w:ind w:left="720"/>
      <w:contextualSpacing/>
    </w:pPr>
  </w:style>
  <w:style w:type="paragraph" w:styleId="CommentText">
    <w:name w:val="annotation text"/>
    <w:basedOn w:val="Normal"/>
    <w:link w:val="CommentTextChar"/>
    <w:uiPriority w:val="99"/>
    <w:semiHidden/>
    <w:unhideWhenUsed/>
    <w:rsid w:val="00272339"/>
    <w:rPr>
      <w:sz w:val="20"/>
    </w:rPr>
  </w:style>
  <w:style w:type="character" w:customStyle="1" w:styleId="CommentTextChar">
    <w:name w:val="Comment Text Char"/>
    <w:basedOn w:val="DefaultParagraphFont"/>
    <w:link w:val="CommentText"/>
    <w:uiPriority w:val="99"/>
    <w:semiHidden/>
    <w:rsid w:val="0027233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72339"/>
    <w:rPr>
      <w:sz w:val="16"/>
      <w:szCs w:val="16"/>
    </w:rPr>
  </w:style>
  <w:style w:type="paragraph" w:styleId="BalloonText">
    <w:name w:val="Balloon Text"/>
    <w:basedOn w:val="Normal"/>
    <w:link w:val="BalloonTextChar"/>
    <w:uiPriority w:val="99"/>
    <w:semiHidden/>
    <w:unhideWhenUsed/>
    <w:rsid w:val="002723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33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7781C"/>
    <w:rPr>
      <w:b/>
      <w:bCs/>
    </w:rPr>
  </w:style>
  <w:style w:type="character" w:customStyle="1" w:styleId="CommentSubjectChar">
    <w:name w:val="Comment Subject Char"/>
    <w:basedOn w:val="CommentTextChar"/>
    <w:link w:val="CommentSubject"/>
    <w:uiPriority w:val="99"/>
    <w:semiHidden/>
    <w:rsid w:val="0007781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03015-0CED-411A-B8C7-D11ACA13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Ludmer, Margo</dc:creator>
  <cp:lastModifiedBy>Willis, Kevin</cp:lastModifiedBy>
  <cp:revision>5</cp:revision>
  <cp:lastPrinted>2016-09-14T15:29:00Z</cp:lastPrinted>
  <dcterms:created xsi:type="dcterms:W3CDTF">2017-03-17T16:59:00Z</dcterms:created>
  <dcterms:modified xsi:type="dcterms:W3CDTF">2017-03-17T18:18:00Z</dcterms:modified>
</cp:coreProperties>
</file>