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A58" w:rsidRPr="00877C76" w:rsidRDefault="006C6A58" w:rsidP="006C6A58">
      <w:pPr>
        <w:widowControl/>
        <w:rPr>
          <w:b/>
          <w:bCs/>
        </w:rPr>
      </w:pPr>
      <w:r w:rsidRPr="00877C76">
        <w:rPr>
          <w:b/>
          <w:bCs/>
        </w:rPr>
        <w:t>Exhibit A</w:t>
      </w:r>
    </w:p>
    <w:p w:rsidR="006C6A58" w:rsidRPr="00877C76" w:rsidRDefault="006C6A58" w:rsidP="006C6A58">
      <w:pPr>
        <w:widowControl/>
        <w:rPr>
          <w:b/>
          <w:bCs/>
          <w:u w:val="single"/>
        </w:rPr>
      </w:pPr>
    </w:p>
    <w:p w:rsidR="006C6A58" w:rsidRPr="00877C76" w:rsidRDefault="006C6A58" w:rsidP="006C6A58">
      <w:pPr>
        <w:widowControl/>
      </w:pPr>
      <w:r w:rsidRPr="00877C76">
        <w:rPr>
          <w:b/>
          <w:bCs/>
          <w:u w:val="single"/>
        </w:rPr>
        <w:t>Nature and Extent of Contamination</w:t>
      </w:r>
    </w:p>
    <w:p w:rsidR="006C6A58" w:rsidRPr="00877C76" w:rsidRDefault="006C6A58" w:rsidP="006C6A58">
      <w:pPr>
        <w:widowControl/>
      </w:pPr>
    </w:p>
    <w:p w:rsidR="006C6A58" w:rsidRPr="00877C76" w:rsidRDefault="006C6A58" w:rsidP="00247138">
      <w:pPr>
        <w:widowControl/>
        <w:ind w:right="-90"/>
        <w:jc w:val="both"/>
      </w:pPr>
      <w:r w:rsidRPr="00877C76">
        <w:t>This section describes the findings of the Remedial Investigation for all environmental media that were evaluated. As described in Section 6.1, samples were collected from various environmental media to characterize the nature and extent of contamination.</w:t>
      </w:r>
    </w:p>
    <w:p w:rsidR="006C6A58" w:rsidRPr="00877C76" w:rsidRDefault="006C6A58" w:rsidP="00247138">
      <w:pPr>
        <w:widowControl/>
        <w:jc w:val="both"/>
      </w:pPr>
    </w:p>
    <w:p w:rsidR="006C6A58" w:rsidRPr="00877C76" w:rsidRDefault="006C6A58" w:rsidP="00247138">
      <w:pPr>
        <w:widowControl/>
        <w:jc w:val="both"/>
      </w:pPr>
      <w:r w:rsidRPr="00877C76">
        <w:t>For each medium, a table summarizes the findings of the investigation. The tables present the range of contamination found at the site in the media and compares the data with the applicable SCGs for the site. The contaminants are arranged into volatile organic compounds (VOCs), semi-volatile organic compounds (SVOCs), pesticides/ polychlorinated biphenyls (PCBs), and inorganics (metals and cyanide)</w:t>
      </w:r>
      <w:r w:rsidR="003E33AE" w:rsidRPr="00877C76">
        <w:t xml:space="preserve">.  </w:t>
      </w:r>
    </w:p>
    <w:p w:rsidR="009C03F9" w:rsidRPr="00877C76" w:rsidRDefault="009C03F9" w:rsidP="00247138">
      <w:pPr>
        <w:widowControl/>
        <w:tabs>
          <w:tab w:val="center" w:pos="5040"/>
        </w:tabs>
        <w:jc w:val="both"/>
      </w:pPr>
    </w:p>
    <w:p w:rsidR="00F41535" w:rsidRPr="00877C76" w:rsidRDefault="006C6A58">
      <w:pPr>
        <w:widowControl/>
        <w:tabs>
          <w:tab w:val="center" w:pos="5040"/>
        </w:tabs>
        <w:jc w:val="center"/>
      </w:pPr>
      <w:r w:rsidRPr="00877C76">
        <w:rPr>
          <w:b/>
          <w:bCs/>
        </w:rPr>
        <w:t>Waste/Source Areas</w:t>
      </w:r>
    </w:p>
    <w:p w:rsidR="006C6A58" w:rsidRPr="00877C76" w:rsidRDefault="006C6A58" w:rsidP="00247138">
      <w:pPr>
        <w:widowControl/>
        <w:jc w:val="both"/>
      </w:pPr>
    </w:p>
    <w:p w:rsidR="006C6A58" w:rsidRPr="00877C76" w:rsidRDefault="006C6A58" w:rsidP="00247138">
      <w:pPr>
        <w:widowControl/>
        <w:jc w:val="both"/>
      </w:pPr>
      <w:r w:rsidRPr="00877C76">
        <w:t>As described in the RI report, waste/source materials were identified at the site and are impacting</w:t>
      </w:r>
      <w:r w:rsidR="005E05F7" w:rsidRPr="00877C76">
        <w:t xml:space="preserve"> </w:t>
      </w:r>
      <w:r w:rsidRPr="00877C76">
        <w:t>groundwater</w:t>
      </w:r>
      <w:r w:rsidR="005E05F7" w:rsidRPr="00877C76">
        <w:t xml:space="preserve"> and soil vapors</w:t>
      </w:r>
      <w:r w:rsidR="00DC78B6" w:rsidRPr="00877C76">
        <w:t>.</w:t>
      </w:r>
    </w:p>
    <w:p w:rsidR="006C6A58" w:rsidRPr="00877C76" w:rsidRDefault="006C6A58" w:rsidP="00247138">
      <w:pPr>
        <w:widowControl/>
        <w:jc w:val="both"/>
      </w:pPr>
    </w:p>
    <w:p w:rsidR="002224DB" w:rsidRPr="00877C76" w:rsidRDefault="006C6A58" w:rsidP="00247138">
      <w:pPr>
        <w:widowControl/>
        <w:jc w:val="both"/>
      </w:pPr>
      <w:r w:rsidRPr="00877C76">
        <w:t xml:space="preserve">Wastes are defined in 6 NYCRR Part 375-1.2(aw) and include solid, industrial and/or hazardous wastes.  Source Areas are defined in 6 NYCRR Part 375(au). Source areas are areas of concern at a site were substantial quantities of contaminants are found which can migrate and release significant levels of contaminants to another environmental medium. Wastes and </w:t>
      </w:r>
      <w:r w:rsidR="00350B06" w:rsidRPr="00877C76">
        <w:t xml:space="preserve">source </w:t>
      </w:r>
      <w:r w:rsidRPr="00877C76">
        <w:t>areas identified at the site include</w:t>
      </w:r>
      <w:r w:rsidR="008F05AC" w:rsidRPr="00877C76">
        <w:t xml:space="preserve"> </w:t>
      </w:r>
      <w:r w:rsidR="005E05F7" w:rsidRPr="00877C76">
        <w:t xml:space="preserve">drywells located off the southeastern comer of the main building. These drywells were used to dispose </w:t>
      </w:r>
      <w:r w:rsidR="00BC31DA" w:rsidRPr="00877C76">
        <w:t xml:space="preserve">waste </w:t>
      </w:r>
      <w:r w:rsidR="005E05F7" w:rsidRPr="00877C76">
        <w:t>water containing solvents and oils</w:t>
      </w:r>
      <w:r w:rsidR="00CD5BF6" w:rsidRPr="00877C76">
        <w:t xml:space="preserve">. Soil vapors have been detected under the </w:t>
      </w:r>
      <w:r w:rsidR="008B4AD6" w:rsidRPr="00877C76">
        <w:t xml:space="preserve">main </w:t>
      </w:r>
      <w:r w:rsidR="00CD5BF6" w:rsidRPr="00877C76">
        <w:t xml:space="preserve">building and </w:t>
      </w:r>
      <w:r w:rsidR="008B4AD6" w:rsidRPr="00877C76">
        <w:t>have been mitigated. I</w:t>
      </w:r>
      <w:r w:rsidR="00CD5BF6" w:rsidRPr="00877C76">
        <w:t>nvestigation</w:t>
      </w:r>
      <w:r w:rsidR="008B4AD6" w:rsidRPr="00877C76">
        <w:t>s</w:t>
      </w:r>
      <w:r w:rsidR="00CD5BF6" w:rsidRPr="00877C76">
        <w:t xml:space="preserve"> of </w:t>
      </w:r>
      <w:r w:rsidR="002224DB" w:rsidRPr="00877C76">
        <w:t>additional</w:t>
      </w:r>
      <w:r w:rsidR="008B4AD6" w:rsidRPr="00877C76">
        <w:t xml:space="preserve"> potential</w:t>
      </w:r>
      <w:r w:rsidR="002224DB" w:rsidRPr="00877C76">
        <w:t xml:space="preserve"> </w:t>
      </w:r>
      <w:r w:rsidR="00CD5BF6" w:rsidRPr="00877C76">
        <w:t xml:space="preserve">source </w:t>
      </w:r>
      <w:r w:rsidR="008B4AD6" w:rsidRPr="00877C76">
        <w:t>area</w:t>
      </w:r>
      <w:r w:rsidR="00CD5BF6" w:rsidRPr="00877C76">
        <w:t xml:space="preserve">s under the </w:t>
      </w:r>
      <w:r w:rsidR="002224DB" w:rsidRPr="00877C76">
        <w:t xml:space="preserve">main </w:t>
      </w:r>
      <w:r w:rsidR="00CD5BF6" w:rsidRPr="00877C76">
        <w:t xml:space="preserve">building </w:t>
      </w:r>
      <w:r w:rsidR="002224DB" w:rsidRPr="00877C76">
        <w:t xml:space="preserve">slab </w:t>
      </w:r>
      <w:r w:rsidR="008B4AD6" w:rsidRPr="00877C76">
        <w:t>are</w:t>
      </w:r>
      <w:r w:rsidR="00CD5BF6" w:rsidRPr="00877C76">
        <w:t xml:space="preserve"> being</w:t>
      </w:r>
      <w:r w:rsidR="00A17E97" w:rsidRPr="00877C76">
        <w:t xml:space="preserve"> </w:t>
      </w:r>
      <w:r w:rsidR="00BC31DA" w:rsidRPr="00877C76">
        <w:t>conducted</w:t>
      </w:r>
      <w:r w:rsidR="008B4AD6" w:rsidRPr="00877C76">
        <w:t xml:space="preserve"> which may</w:t>
      </w:r>
      <w:r w:rsidR="00BC31DA" w:rsidRPr="00877C76">
        <w:t xml:space="preserve"> support</w:t>
      </w:r>
      <w:r w:rsidR="00625745" w:rsidRPr="00877C76">
        <w:t xml:space="preserve"> the need for further </w:t>
      </w:r>
      <w:r w:rsidR="002224DB" w:rsidRPr="00877C76">
        <w:t xml:space="preserve">remediation pursuant to </w:t>
      </w:r>
      <w:r w:rsidR="00A17E97" w:rsidRPr="00877C76">
        <w:t xml:space="preserve">the </w:t>
      </w:r>
      <w:r w:rsidR="008B4AD6" w:rsidRPr="00877C76">
        <w:t xml:space="preserve">ongoing </w:t>
      </w:r>
      <w:r w:rsidR="00CD5BF6" w:rsidRPr="00877C76">
        <w:t xml:space="preserve">RCRA Closure </w:t>
      </w:r>
      <w:r w:rsidR="002224DB" w:rsidRPr="00877C76">
        <w:t>of the site.</w:t>
      </w:r>
      <w:r w:rsidR="00CD5BF6" w:rsidRPr="00877C76">
        <w:t xml:space="preserve">  </w:t>
      </w:r>
    </w:p>
    <w:p w:rsidR="002224DB" w:rsidRPr="00877C76" w:rsidRDefault="002224DB" w:rsidP="00247138">
      <w:pPr>
        <w:widowControl/>
        <w:jc w:val="both"/>
      </w:pPr>
    </w:p>
    <w:p w:rsidR="00B92103" w:rsidRPr="00877C76" w:rsidRDefault="00B92103" w:rsidP="00247138">
      <w:pPr>
        <w:widowControl/>
        <w:jc w:val="both"/>
      </w:pPr>
      <w:r w:rsidRPr="00877C76">
        <w:t xml:space="preserve">The waste/source areas </w:t>
      </w:r>
      <w:r w:rsidR="00D77A51" w:rsidRPr="00877C76">
        <w:t xml:space="preserve">located off the southeastern corner </w:t>
      </w:r>
      <w:r w:rsidR="007A49FC" w:rsidRPr="00877C76">
        <w:t>o</w:t>
      </w:r>
      <w:r w:rsidR="00D77A51" w:rsidRPr="00877C76">
        <w:t xml:space="preserve">f the main building </w:t>
      </w:r>
      <w:r w:rsidR="00625745" w:rsidRPr="00877C76">
        <w:t xml:space="preserve">were </w:t>
      </w:r>
      <w:r w:rsidRPr="00877C76">
        <w:t>addressed by an IRM and</w:t>
      </w:r>
      <w:r w:rsidR="008A4DC6" w:rsidRPr="00877C76">
        <w:t xml:space="preserve"> </w:t>
      </w:r>
      <w:r w:rsidR="00625745" w:rsidRPr="00877C76">
        <w:t>the</w:t>
      </w:r>
      <w:r w:rsidRPr="00877C76">
        <w:t xml:space="preserve"> ongoing OU1 remedy.</w:t>
      </w:r>
      <w:r w:rsidR="00C75CA4" w:rsidRPr="00877C76">
        <w:t xml:space="preserve"> A soil vapor extraction system was installed in 1994 as an IRM and the OU1 remedy included the removal of approximately 800 tons of contaminated soil from the drywells in 1998.</w:t>
      </w:r>
    </w:p>
    <w:p w:rsidR="006C6A58" w:rsidRPr="00877C76" w:rsidRDefault="00B92103" w:rsidP="00247138">
      <w:pPr>
        <w:widowControl/>
        <w:ind w:right="-90"/>
        <w:jc w:val="both"/>
      </w:pPr>
      <w:r w:rsidRPr="00877C76">
        <w:t xml:space="preserve"> </w:t>
      </w:r>
    </w:p>
    <w:p w:rsidR="00F41535" w:rsidRPr="00877C76" w:rsidRDefault="006C6A58">
      <w:pPr>
        <w:widowControl/>
        <w:tabs>
          <w:tab w:val="center" w:pos="5085"/>
        </w:tabs>
        <w:jc w:val="center"/>
        <w:rPr>
          <w:b/>
          <w:bCs/>
        </w:rPr>
      </w:pPr>
      <w:r w:rsidRPr="00877C76">
        <w:rPr>
          <w:b/>
          <w:bCs/>
        </w:rPr>
        <w:t>Groundwater</w:t>
      </w:r>
    </w:p>
    <w:p w:rsidR="00F41535" w:rsidRPr="00877C76" w:rsidRDefault="00F41535">
      <w:pPr>
        <w:widowControl/>
        <w:tabs>
          <w:tab w:val="center" w:pos="5085"/>
        </w:tabs>
        <w:jc w:val="center"/>
      </w:pPr>
    </w:p>
    <w:p w:rsidR="001369B9" w:rsidRPr="00877C76" w:rsidRDefault="000A0E38" w:rsidP="00247138">
      <w:pPr>
        <w:widowControl/>
        <w:jc w:val="both"/>
      </w:pPr>
      <w:r w:rsidRPr="00877C76">
        <w:t>A</w:t>
      </w:r>
      <w:r w:rsidR="001369B9" w:rsidRPr="00877C76">
        <w:t xml:space="preserve"> </w:t>
      </w:r>
      <w:r w:rsidRPr="00877C76">
        <w:t xml:space="preserve">complete round of </w:t>
      </w:r>
      <w:r w:rsidR="001369B9" w:rsidRPr="00877C76">
        <w:t xml:space="preserve">groundwater </w:t>
      </w:r>
      <w:r w:rsidRPr="00877C76">
        <w:t xml:space="preserve">sampling </w:t>
      </w:r>
      <w:r w:rsidR="007A1D46" w:rsidRPr="00877C76">
        <w:t>data</w:t>
      </w:r>
      <w:r w:rsidR="001369B9" w:rsidRPr="00877C76">
        <w:t xml:space="preserve"> was co</w:t>
      </w:r>
      <w:r w:rsidR="007A1D46" w:rsidRPr="00877C76">
        <w:t xml:space="preserve">llected </w:t>
      </w:r>
      <w:r w:rsidRPr="00877C76">
        <w:t>from June 2009 through January 2010 and p</w:t>
      </w:r>
      <w:r w:rsidR="00D6231A" w:rsidRPr="00877C76">
        <w:t xml:space="preserve">eriodic groundwater sampling of selected </w:t>
      </w:r>
      <w:r w:rsidR="0005071C" w:rsidRPr="00877C76">
        <w:t xml:space="preserve">outpost monitoring </w:t>
      </w:r>
      <w:r w:rsidR="00D6231A" w:rsidRPr="00877C76">
        <w:t>wells continued during 2011 an</w:t>
      </w:r>
      <w:r w:rsidR="00FB7664" w:rsidRPr="00877C76">
        <w:t>d 2012.</w:t>
      </w:r>
    </w:p>
    <w:p w:rsidR="00D6231A" w:rsidRPr="00877C76" w:rsidRDefault="00D6231A" w:rsidP="00247138">
      <w:pPr>
        <w:widowControl/>
        <w:jc w:val="both"/>
      </w:pPr>
    </w:p>
    <w:p w:rsidR="0001179F" w:rsidRPr="00877C76" w:rsidRDefault="009C177F" w:rsidP="00247138">
      <w:pPr>
        <w:widowControl/>
        <w:jc w:val="both"/>
      </w:pPr>
      <w:r w:rsidRPr="00877C76">
        <w:t xml:space="preserve">Figure 2 provides the location of wells located within a 2.5 mile radius of the former Unisys site. </w:t>
      </w:r>
      <w:r w:rsidR="00F21026" w:rsidRPr="00877C76">
        <w:t xml:space="preserve">Groundwater samples were collected from off-site monitoring wells, irrigation wells, and public supply wells. </w:t>
      </w:r>
      <w:r w:rsidR="000A0857" w:rsidRPr="00877C76">
        <w:t xml:space="preserve">Groundwater flow is generally to the northwest, except in local areas affected by current pumping. </w:t>
      </w:r>
      <w:r w:rsidR="0001179F" w:rsidRPr="00877C76">
        <w:t xml:space="preserve">Figure 3 provides approximate maximum extent and concentration distribution of </w:t>
      </w:r>
      <w:r w:rsidR="00260CFE" w:rsidRPr="00877C76">
        <w:t>tot</w:t>
      </w:r>
      <w:r w:rsidR="007B2E05">
        <w:t>al volatile organic compounds (</w:t>
      </w:r>
      <w:r w:rsidR="00260CFE" w:rsidRPr="00877C76">
        <w:t>VOCs)</w:t>
      </w:r>
      <w:r w:rsidR="0001179F" w:rsidRPr="00877C76">
        <w:t xml:space="preserve"> in groundwater regardless of </w:t>
      </w:r>
      <w:r w:rsidR="00A17E97" w:rsidRPr="00877C76">
        <w:t xml:space="preserve">the </w:t>
      </w:r>
      <w:r w:rsidR="0001179F" w:rsidRPr="00877C76">
        <w:t>aquifer horizon.</w:t>
      </w:r>
    </w:p>
    <w:p w:rsidR="0001179F" w:rsidRPr="00877C76" w:rsidRDefault="0001179F" w:rsidP="00247138">
      <w:pPr>
        <w:widowControl/>
        <w:jc w:val="both"/>
      </w:pPr>
    </w:p>
    <w:p w:rsidR="00F21026" w:rsidRPr="00877C76" w:rsidRDefault="00CB77A9" w:rsidP="00247138">
      <w:pPr>
        <w:widowControl/>
        <w:jc w:val="both"/>
      </w:pPr>
      <w:r w:rsidRPr="00877C76">
        <w:t xml:space="preserve">As noted on Figure 3, </w:t>
      </w:r>
      <w:r w:rsidR="000A0E38" w:rsidRPr="00877C76">
        <w:t xml:space="preserve">VOCs </w:t>
      </w:r>
      <w:r w:rsidR="00C946F7" w:rsidRPr="00877C76">
        <w:t>[</w:t>
      </w:r>
      <w:r w:rsidR="000A0857" w:rsidRPr="00877C76">
        <w:t xml:space="preserve">cis 1,2 </w:t>
      </w:r>
      <w:r w:rsidR="00C946F7" w:rsidRPr="00877C76">
        <w:t>dichloroethene (</w:t>
      </w:r>
      <w:r w:rsidR="000A0857" w:rsidRPr="00877C76">
        <w:t xml:space="preserve">cis, </w:t>
      </w:r>
      <w:r w:rsidR="00C946F7" w:rsidRPr="00877C76">
        <w:t xml:space="preserve">DCE), trichloroethene (TCE), tetrachloroethene (PCE) </w:t>
      </w:r>
      <w:r w:rsidR="00050148" w:rsidRPr="00877C76">
        <w:t>and Freon 113]</w:t>
      </w:r>
      <w:r w:rsidR="00386010" w:rsidRPr="00877C76">
        <w:t xml:space="preserve"> </w:t>
      </w:r>
      <w:r w:rsidR="000A0E38" w:rsidRPr="00877C76">
        <w:t>have been detected in</w:t>
      </w:r>
      <w:r w:rsidRPr="00877C76">
        <w:t xml:space="preserve"> on-site and off-site groundwater. </w:t>
      </w:r>
      <w:r w:rsidR="007B2E05">
        <w:t xml:space="preserve">The </w:t>
      </w:r>
      <w:r w:rsidR="00F21026" w:rsidRPr="00877C76">
        <w:t xml:space="preserve">VOC distribution </w:t>
      </w:r>
      <w:r w:rsidR="000A0E38" w:rsidRPr="00877C76">
        <w:t xml:space="preserve">and peak concentrations </w:t>
      </w:r>
      <w:r w:rsidR="00F21026" w:rsidRPr="00877C76">
        <w:t>in the Upper Glacial and Magothy aquifers zones are summarized below:</w:t>
      </w:r>
    </w:p>
    <w:p w:rsidR="00DA2ACE" w:rsidRPr="00877C76" w:rsidRDefault="00DA2ACE" w:rsidP="00247138">
      <w:pPr>
        <w:jc w:val="both"/>
        <w:rPr>
          <w:u w:val="single"/>
        </w:rPr>
      </w:pPr>
    </w:p>
    <w:p w:rsidR="0025396D" w:rsidRPr="00877C76" w:rsidRDefault="00155718" w:rsidP="00247138">
      <w:pPr>
        <w:jc w:val="both"/>
        <w:rPr>
          <w:u w:val="single"/>
        </w:rPr>
      </w:pPr>
      <w:r w:rsidRPr="00877C76">
        <w:rPr>
          <w:u w:val="single"/>
        </w:rPr>
        <w:t>Upper Glacial Aquifer:</w:t>
      </w:r>
    </w:p>
    <w:p w:rsidR="00247138" w:rsidRPr="00877C76" w:rsidRDefault="00247138" w:rsidP="00247138">
      <w:pPr>
        <w:jc w:val="both"/>
      </w:pPr>
    </w:p>
    <w:p w:rsidR="007A1D46" w:rsidRPr="00877C76" w:rsidRDefault="007B2E05" w:rsidP="00247138">
      <w:pPr>
        <w:jc w:val="both"/>
      </w:pPr>
      <w:r>
        <w:lastRenderedPageBreak/>
        <w:t xml:space="preserve">The </w:t>
      </w:r>
      <w:r w:rsidR="0025396D" w:rsidRPr="00877C76">
        <w:t>VOC groundwater plume in the Upper Glacial aquifer, as defined by the 5 ppb contour</w:t>
      </w:r>
      <w:r w:rsidR="00F03E2B" w:rsidRPr="00877C76">
        <w:t xml:space="preserve"> </w:t>
      </w:r>
      <w:r w:rsidR="001D67B3" w:rsidRPr="00877C76">
        <w:t>on Figure 3</w:t>
      </w:r>
      <w:r w:rsidR="0025396D" w:rsidRPr="00877C76">
        <w:t>, extends off</w:t>
      </w:r>
      <w:r w:rsidR="00350B06" w:rsidRPr="00877C76">
        <w:t>-</w:t>
      </w:r>
      <w:r w:rsidR="0025396D" w:rsidRPr="00877C76">
        <w:t xml:space="preserve">site approximately 1,400 feet north of Marcus Avenue and approximately 2,500 feet west of Lakeville Road. </w:t>
      </w:r>
      <w:r w:rsidR="00484410" w:rsidRPr="00877C76">
        <w:t xml:space="preserve">The groundwater flow is to the northwest. </w:t>
      </w:r>
      <w:r>
        <w:t xml:space="preserve">The peak </w:t>
      </w:r>
      <w:r w:rsidR="00085341" w:rsidRPr="00877C76">
        <w:t xml:space="preserve">VOC concentration </w:t>
      </w:r>
      <w:r w:rsidR="00501F08" w:rsidRPr="00877C76">
        <w:t xml:space="preserve">of 260 ppb </w:t>
      </w:r>
      <w:r w:rsidR="00085341" w:rsidRPr="00877C76">
        <w:t xml:space="preserve">was detected in </w:t>
      </w:r>
      <w:r w:rsidR="00B53CE4" w:rsidRPr="00877C76">
        <w:t xml:space="preserve">a </w:t>
      </w:r>
      <w:r w:rsidR="00085341" w:rsidRPr="00877C76">
        <w:t xml:space="preserve">monitoring well 18GL </w:t>
      </w:r>
      <w:r w:rsidR="00FB7664" w:rsidRPr="00877C76">
        <w:t>located approximately 400 feet northwest of the intersection of M</w:t>
      </w:r>
      <w:r w:rsidR="007A1D46" w:rsidRPr="00877C76">
        <w:t>arcus Avenue and Lakeville Road</w:t>
      </w:r>
      <w:r w:rsidR="00501F08" w:rsidRPr="00877C76">
        <w:t>.</w:t>
      </w:r>
      <w:r w:rsidR="001E3D82" w:rsidRPr="00877C76">
        <w:t xml:space="preserve"> </w:t>
      </w:r>
      <w:r w:rsidR="005F28E5" w:rsidRPr="00877C76">
        <w:t xml:space="preserve">In </w:t>
      </w:r>
      <w:r w:rsidR="00B53CE4" w:rsidRPr="00877C76">
        <w:t xml:space="preserve">monitoring well </w:t>
      </w:r>
      <w:r>
        <w:t>18</w:t>
      </w:r>
      <w:r w:rsidR="005F28E5" w:rsidRPr="00877C76">
        <w:t xml:space="preserve">GL, </w:t>
      </w:r>
      <w:r w:rsidR="00260CFE" w:rsidRPr="00877C76">
        <w:t>three</w:t>
      </w:r>
      <w:r w:rsidR="005F28E5" w:rsidRPr="00877C76">
        <w:t xml:space="preserve"> out of </w:t>
      </w:r>
      <w:r w:rsidR="00260CFE" w:rsidRPr="00877C76">
        <w:t>four</w:t>
      </w:r>
      <w:r w:rsidR="005F28E5" w:rsidRPr="00877C76">
        <w:t xml:space="preserve"> </w:t>
      </w:r>
      <w:r w:rsidR="00260CFE" w:rsidRPr="00877C76">
        <w:t>contaminants of concern (COCs)</w:t>
      </w:r>
      <w:r w:rsidR="005F28E5" w:rsidRPr="00877C76">
        <w:t xml:space="preserve"> </w:t>
      </w:r>
      <w:r w:rsidR="007A1D46" w:rsidRPr="00877C76">
        <w:t>exceeded the Department’s Ambient Water Quality Standards and Guidance values (Standards, Criteria and Guidance-SCGs)</w:t>
      </w:r>
      <w:r w:rsidR="005F28E5" w:rsidRPr="00877C76">
        <w:t xml:space="preserve"> of 5 ppb.</w:t>
      </w:r>
      <w:r w:rsidR="007A1D46" w:rsidRPr="00877C76">
        <w:t xml:space="preserve">  N</w:t>
      </w:r>
      <w:r w:rsidR="0025396D" w:rsidRPr="00877C76">
        <w:t xml:space="preserve">o </w:t>
      </w:r>
      <w:r>
        <w:t>site-</w:t>
      </w:r>
      <w:r w:rsidR="007A1D46" w:rsidRPr="00877C76">
        <w:t xml:space="preserve">related </w:t>
      </w:r>
      <w:r w:rsidR="0025396D" w:rsidRPr="00877C76">
        <w:t>VOCs were detected in monitoring well 16GL</w:t>
      </w:r>
      <w:r w:rsidR="007A1D46" w:rsidRPr="00877C76">
        <w:t xml:space="preserve"> located approximately 2,000 feet north of </w:t>
      </w:r>
      <w:r w:rsidR="00A41295" w:rsidRPr="00877C76">
        <w:t xml:space="preserve">the </w:t>
      </w:r>
      <w:r w:rsidR="007A1D46" w:rsidRPr="00877C76">
        <w:t>intersection between Marcus Avenue and Lakeville Road on the Great Neck North School property.</w:t>
      </w:r>
    </w:p>
    <w:p w:rsidR="007A1D46" w:rsidRPr="00877C76" w:rsidRDefault="007A1D46" w:rsidP="00247138">
      <w:pPr>
        <w:jc w:val="both"/>
      </w:pPr>
    </w:p>
    <w:p w:rsidR="004A4B9C" w:rsidRPr="00877C76" w:rsidRDefault="004A4B9C" w:rsidP="00247138">
      <w:pPr>
        <w:jc w:val="both"/>
      </w:pPr>
      <w:r w:rsidRPr="00877C76">
        <w:t xml:space="preserve">The groundwater plume, which is below the bottom of both Lake Success and Lake Surprise, has not affected either lake, and </w:t>
      </w:r>
      <w:r w:rsidR="00CC4932" w:rsidRPr="00877C76">
        <w:t>is</w:t>
      </w:r>
      <w:r w:rsidRPr="00877C76">
        <w:t xml:space="preserve"> not </w:t>
      </w:r>
      <w:r w:rsidR="00CC4932" w:rsidRPr="00877C76">
        <w:t xml:space="preserve">expected to </w:t>
      </w:r>
      <w:r w:rsidR="007B2E05">
        <w:t>impact</w:t>
      </w:r>
      <w:r w:rsidRPr="00877C76">
        <w:t xml:space="preserve"> these lakes in the future because the groundwater is below the bottom of the lakes.</w:t>
      </w:r>
      <w:r w:rsidR="0093412C" w:rsidRPr="00877C76">
        <w:t xml:space="preserve"> </w:t>
      </w:r>
    </w:p>
    <w:p w:rsidR="004A4B9C" w:rsidRPr="00877C76" w:rsidRDefault="004A4B9C" w:rsidP="00247138">
      <w:pPr>
        <w:widowControl/>
        <w:jc w:val="both"/>
      </w:pPr>
    </w:p>
    <w:p w:rsidR="0025396D" w:rsidRPr="00877C76" w:rsidRDefault="00155718" w:rsidP="00247138">
      <w:pPr>
        <w:jc w:val="both"/>
        <w:rPr>
          <w:u w:val="single"/>
        </w:rPr>
      </w:pPr>
      <w:r w:rsidRPr="00877C76">
        <w:rPr>
          <w:u w:val="single"/>
        </w:rPr>
        <w:t>Upper Magothy Aquifer:</w:t>
      </w:r>
    </w:p>
    <w:p w:rsidR="00484410" w:rsidRPr="00877C76" w:rsidRDefault="00484410" w:rsidP="00247138">
      <w:pPr>
        <w:jc w:val="both"/>
      </w:pPr>
    </w:p>
    <w:p w:rsidR="00715113" w:rsidRPr="00877C76" w:rsidRDefault="007B2E05" w:rsidP="00247138">
      <w:pPr>
        <w:jc w:val="both"/>
      </w:pPr>
      <w:r>
        <w:t xml:space="preserve">The total </w:t>
      </w:r>
      <w:r w:rsidR="0025396D" w:rsidRPr="00877C76">
        <w:t>VOC groundwater plume in the upper Magothy aquifer</w:t>
      </w:r>
      <w:r w:rsidR="00604C36" w:rsidRPr="00877C76">
        <w:t>,</w:t>
      </w:r>
      <w:r w:rsidR="0025396D" w:rsidRPr="00877C76">
        <w:t xml:space="preserve"> as defined by the 5 ppb contour</w:t>
      </w:r>
      <w:r w:rsidR="00F03E2B" w:rsidRPr="00877C76">
        <w:t xml:space="preserve"> </w:t>
      </w:r>
      <w:r w:rsidR="00376AC3" w:rsidRPr="00877C76">
        <w:t>on Figure 3</w:t>
      </w:r>
      <w:r w:rsidR="0025396D" w:rsidRPr="00877C76">
        <w:t xml:space="preserve">, extends </w:t>
      </w:r>
      <w:r w:rsidR="00350B06" w:rsidRPr="00877C76">
        <w:t>off-site</w:t>
      </w:r>
      <w:r w:rsidR="0025396D" w:rsidRPr="00877C76">
        <w:t xml:space="preserve"> approximately 6,200 feet north of Marcus Avenue and approximately 4,800 feet west of Lakeville Road. </w:t>
      </w:r>
      <w:r w:rsidR="00484410" w:rsidRPr="00877C76">
        <w:t>The groundwater flow is to the northwest.</w:t>
      </w:r>
      <w:r w:rsidR="00562A7A" w:rsidRPr="00877C76">
        <w:t xml:space="preserve"> </w:t>
      </w:r>
      <w:r w:rsidR="00C77A44" w:rsidRPr="00877C76">
        <w:t>At least one COC was detected at concentrations above the SCGs in 16 out of 22 wells.</w:t>
      </w:r>
      <w:r w:rsidR="002F2B36" w:rsidRPr="00877C76">
        <w:t xml:space="preserve"> </w:t>
      </w:r>
      <w:r>
        <w:t xml:space="preserve">The peak </w:t>
      </w:r>
      <w:r w:rsidR="0025396D" w:rsidRPr="00877C76">
        <w:t xml:space="preserve">VOC concentration </w:t>
      </w:r>
      <w:r w:rsidR="00501F08" w:rsidRPr="00877C76">
        <w:t xml:space="preserve">of 580 ppb </w:t>
      </w:r>
      <w:r w:rsidR="0025396D" w:rsidRPr="00877C76">
        <w:t xml:space="preserve">was found in </w:t>
      </w:r>
      <w:r w:rsidR="00B53CE4" w:rsidRPr="00877C76">
        <w:t xml:space="preserve">a </w:t>
      </w:r>
      <w:r w:rsidR="0025396D" w:rsidRPr="00877C76">
        <w:t xml:space="preserve">monitoring well </w:t>
      </w:r>
      <w:r>
        <w:t>16</w:t>
      </w:r>
      <w:r w:rsidR="005B111A" w:rsidRPr="00877C76">
        <w:t xml:space="preserve">ML </w:t>
      </w:r>
      <w:r w:rsidR="00B44D03" w:rsidRPr="00877C76">
        <w:t>located approximately 2,000 feet north of intersection between Marcus Avenue and Lakeville Road on the G</w:t>
      </w:r>
      <w:r w:rsidR="00484410" w:rsidRPr="00877C76">
        <w:t>reat Neck North School property</w:t>
      </w:r>
      <w:r w:rsidR="00501F08" w:rsidRPr="00877C76">
        <w:t>.</w:t>
      </w:r>
      <w:r w:rsidR="00562A7A" w:rsidRPr="00877C76">
        <w:t xml:space="preserve"> </w:t>
      </w:r>
      <w:r w:rsidR="00260CFE" w:rsidRPr="00877C76">
        <w:t xml:space="preserve">A </w:t>
      </w:r>
      <w:r w:rsidR="00D37DDB" w:rsidRPr="00877C76">
        <w:t xml:space="preserve">VOC concentration </w:t>
      </w:r>
      <w:r w:rsidR="00501F08" w:rsidRPr="00877C76">
        <w:t xml:space="preserve">of 270 ppb </w:t>
      </w:r>
      <w:r w:rsidR="00D37DDB" w:rsidRPr="00877C76">
        <w:t>was found in</w:t>
      </w:r>
      <w:r w:rsidR="00B53CE4" w:rsidRPr="00877C76">
        <w:t xml:space="preserve"> a</w:t>
      </w:r>
      <w:r w:rsidR="00D37DDB" w:rsidRPr="00877C76">
        <w:t xml:space="preserve"> monitoring well ERM-04 </w:t>
      </w:r>
      <w:r w:rsidR="005B111A" w:rsidRPr="00877C76">
        <w:t>located approximately 500 feet west of Lakeville Road</w:t>
      </w:r>
      <w:r w:rsidR="00501F08" w:rsidRPr="00877C76">
        <w:t>.</w:t>
      </w:r>
      <w:r w:rsidR="005B111A" w:rsidRPr="00877C76">
        <w:t xml:space="preserve"> </w:t>
      </w:r>
      <w:r w:rsidR="00260CFE" w:rsidRPr="00877C76">
        <w:t xml:space="preserve">A </w:t>
      </w:r>
      <w:r>
        <w:t xml:space="preserve">total </w:t>
      </w:r>
      <w:r w:rsidR="00D37DDB" w:rsidRPr="00877C76">
        <w:t xml:space="preserve">VOC concentration </w:t>
      </w:r>
      <w:r w:rsidR="00501F08" w:rsidRPr="00877C76">
        <w:t xml:space="preserve">of 130 ppb </w:t>
      </w:r>
      <w:r w:rsidR="00D37DDB" w:rsidRPr="00877C76">
        <w:t>wa</w:t>
      </w:r>
      <w:r>
        <w:t>s found in an irrigation well N</w:t>
      </w:r>
      <w:r w:rsidR="00D37DDB" w:rsidRPr="00877C76">
        <w:t xml:space="preserve">13266 located approximately </w:t>
      </w:r>
      <w:r w:rsidR="00715113" w:rsidRPr="00877C76">
        <w:t>2</w:t>
      </w:r>
      <w:r w:rsidR="00D37DDB" w:rsidRPr="00877C76">
        <w:t>,</w:t>
      </w:r>
      <w:r w:rsidR="00715113" w:rsidRPr="00877C76">
        <w:t>0</w:t>
      </w:r>
      <w:r w:rsidR="00D37DDB" w:rsidRPr="00877C76">
        <w:t>00 feet west of Lakeville Road on North Shore Golf Course (high rise residential buildings on the property).</w:t>
      </w:r>
      <w:r w:rsidR="00AD4715" w:rsidRPr="00877C76">
        <w:t xml:space="preserve"> </w:t>
      </w:r>
      <w:r w:rsidR="002D6CFE" w:rsidRPr="00877C76">
        <w:t xml:space="preserve">A </w:t>
      </w:r>
      <w:r>
        <w:t xml:space="preserve">total </w:t>
      </w:r>
      <w:r w:rsidR="00AD4715" w:rsidRPr="00877C76">
        <w:t>VOC concentration</w:t>
      </w:r>
      <w:r w:rsidR="008C591F" w:rsidRPr="00877C76">
        <w:t xml:space="preserve"> </w:t>
      </w:r>
      <w:r w:rsidR="002D6CFE" w:rsidRPr="00877C76">
        <w:t xml:space="preserve">of </w:t>
      </w:r>
      <w:r w:rsidR="00902923" w:rsidRPr="00877C76">
        <w:t>140</w:t>
      </w:r>
      <w:r w:rsidR="000D5A23" w:rsidRPr="00877C76">
        <w:t xml:space="preserve"> </w:t>
      </w:r>
      <w:r w:rsidR="002D6CFE" w:rsidRPr="00877C76">
        <w:t xml:space="preserve">ppb </w:t>
      </w:r>
      <w:r w:rsidR="00AD4715" w:rsidRPr="00877C76">
        <w:t xml:space="preserve">was found in monitoring well </w:t>
      </w:r>
      <w:r w:rsidR="00DC386C" w:rsidRPr="00877C76">
        <w:t>45</w:t>
      </w:r>
      <w:r w:rsidR="00AD4715" w:rsidRPr="00877C76">
        <w:t>MU located approximately 3,</w:t>
      </w:r>
      <w:r w:rsidR="00715113" w:rsidRPr="00877C76">
        <w:t>5</w:t>
      </w:r>
      <w:r w:rsidR="00AD4715" w:rsidRPr="00877C76">
        <w:t xml:space="preserve">00 feet west of Lakeville Road and </w:t>
      </w:r>
      <w:r w:rsidR="00715113" w:rsidRPr="00877C76">
        <w:t>3,0</w:t>
      </w:r>
      <w:r w:rsidR="00AD4715" w:rsidRPr="00877C76">
        <w:t xml:space="preserve">00 feet </w:t>
      </w:r>
      <w:r w:rsidR="002375F8" w:rsidRPr="00877C76">
        <w:t>n</w:t>
      </w:r>
      <w:r w:rsidR="00AD4715" w:rsidRPr="00877C76">
        <w:t>orth of Marcus Avenue on the Village of Lake Success property.</w:t>
      </w:r>
      <w:r w:rsidR="00DC386C" w:rsidRPr="00877C76">
        <w:t xml:space="preserve"> </w:t>
      </w:r>
      <w:r w:rsidR="002D6CFE" w:rsidRPr="00877C76">
        <w:t xml:space="preserve">A </w:t>
      </w:r>
      <w:r>
        <w:t xml:space="preserve">total </w:t>
      </w:r>
      <w:r w:rsidR="00562A7A" w:rsidRPr="00877C76">
        <w:t xml:space="preserve">VOC concentration </w:t>
      </w:r>
      <w:r w:rsidR="00221C94" w:rsidRPr="00877C76">
        <w:t xml:space="preserve">of 4.9 ppb </w:t>
      </w:r>
      <w:r w:rsidR="00562A7A" w:rsidRPr="00877C76">
        <w:t xml:space="preserve">was found in </w:t>
      </w:r>
      <w:r w:rsidR="00B53CE4" w:rsidRPr="00877C76">
        <w:t xml:space="preserve">monitoring well 15GL </w:t>
      </w:r>
      <w:r w:rsidR="00AD4715" w:rsidRPr="00877C76">
        <w:t xml:space="preserve">located approximately 250 feet south of Union Turnpike. </w:t>
      </w:r>
    </w:p>
    <w:p w:rsidR="00221C94" w:rsidRPr="00877C76" w:rsidRDefault="00221C94" w:rsidP="00247138">
      <w:pPr>
        <w:jc w:val="both"/>
      </w:pPr>
    </w:p>
    <w:p w:rsidR="005B509B" w:rsidRPr="00877C76" w:rsidRDefault="00155718" w:rsidP="00247138">
      <w:pPr>
        <w:jc w:val="both"/>
        <w:rPr>
          <w:u w:val="single"/>
        </w:rPr>
      </w:pPr>
      <w:r w:rsidRPr="00877C76">
        <w:rPr>
          <w:u w:val="single"/>
        </w:rPr>
        <w:t>Middle Magothy Aquifer:</w:t>
      </w:r>
    </w:p>
    <w:p w:rsidR="00247138" w:rsidRPr="00877C76" w:rsidRDefault="00247138" w:rsidP="00247138">
      <w:pPr>
        <w:jc w:val="both"/>
        <w:rPr>
          <w:u w:val="single"/>
        </w:rPr>
      </w:pPr>
    </w:p>
    <w:p w:rsidR="008A74AA" w:rsidRPr="00877C76" w:rsidRDefault="005B509B" w:rsidP="00247138">
      <w:pPr>
        <w:jc w:val="both"/>
      </w:pPr>
      <w:r w:rsidRPr="00877C76">
        <w:t xml:space="preserve">The </w:t>
      </w:r>
      <w:r w:rsidR="007B2E05">
        <w:t xml:space="preserve">total </w:t>
      </w:r>
      <w:r w:rsidRPr="00877C76">
        <w:t>VOC plume, as defined by the 5 ppb contour</w:t>
      </w:r>
      <w:r w:rsidR="008C591F" w:rsidRPr="00877C76">
        <w:t xml:space="preserve"> </w:t>
      </w:r>
      <w:r w:rsidR="00376AC3" w:rsidRPr="00877C76">
        <w:t>on Figure 3</w:t>
      </w:r>
      <w:r w:rsidRPr="00877C76">
        <w:t xml:space="preserve">, extends </w:t>
      </w:r>
      <w:r w:rsidR="00350B06" w:rsidRPr="00877C76">
        <w:t>off-site</w:t>
      </w:r>
      <w:r w:rsidRPr="00877C76">
        <w:t xml:space="preserve"> approximately 6,000 feet north of Marcus Avenue and approximately 4,800 feet west of Lakeville Road. </w:t>
      </w:r>
      <w:r w:rsidR="00D1192A" w:rsidRPr="00877C76">
        <w:t>At least one COC was detected at concentrations above the SCGs in 12 out of 19 wells.</w:t>
      </w:r>
      <w:r w:rsidR="0029400B" w:rsidRPr="00877C76">
        <w:t xml:space="preserve"> </w:t>
      </w:r>
      <w:r w:rsidRPr="00877C76">
        <w:t xml:space="preserve">The peak VOC concentration </w:t>
      </w:r>
      <w:r w:rsidR="00221C94" w:rsidRPr="00877C76">
        <w:t xml:space="preserve">of 910 ppb </w:t>
      </w:r>
      <w:r w:rsidRPr="00877C76">
        <w:t>was found in</w:t>
      </w:r>
      <w:r w:rsidR="00B53CE4" w:rsidRPr="00877C76">
        <w:t xml:space="preserve"> </w:t>
      </w:r>
      <w:r w:rsidRPr="00877C76">
        <w:t xml:space="preserve">monitoring well 38MI located approximately 1,200 feet north of Marcus Avenue and 50 feet west of Lakeville Road.  </w:t>
      </w:r>
    </w:p>
    <w:p w:rsidR="008A74AA" w:rsidRPr="00877C76" w:rsidRDefault="008A74AA" w:rsidP="00247138">
      <w:pPr>
        <w:jc w:val="both"/>
      </w:pPr>
    </w:p>
    <w:p w:rsidR="00B53CE4" w:rsidRPr="00877C76" w:rsidRDefault="002D6CFE" w:rsidP="00247138">
      <w:pPr>
        <w:jc w:val="both"/>
      </w:pPr>
      <w:r w:rsidRPr="00877C76">
        <w:t xml:space="preserve">A </w:t>
      </w:r>
      <w:r w:rsidR="007B2E05">
        <w:t xml:space="preserve">total </w:t>
      </w:r>
      <w:r w:rsidR="008A74AA" w:rsidRPr="00877C76">
        <w:t xml:space="preserve">VOC concentration </w:t>
      </w:r>
      <w:r w:rsidR="001E6388" w:rsidRPr="00877C76">
        <w:t xml:space="preserve">of 230 ppb </w:t>
      </w:r>
      <w:r w:rsidR="007B2E05">
        <w:t>was found in monitoring well 43</w:t>
      </w:r>
      <w:r w:rsidR="008A74AA" w:rsidRPr="00877C76">
        <w:t>MI</w:t>
      </w:r>
      <w:r w:rsidRPr="00877C76">
        <w:t>,</w:t>
      </w:r>
      <w:r w:rsidR="008A74AA" w:rsidRPr="00877C76">
        <w:t xml:space="preserve"> located approximately 4,5</w:t>
      </w:r>
      <w:r w:rsidR="00480321" w:rsidRPr="00877C76">
        <w:t>00</w:t>
      </w:r>
      <w:r w:rsidR="00DC386C" w:rsidRPr="00877C76">
        <w:t xml:space="preserve"> </w:t>
      </w:r>
      <w:r w:rsidR="008A74AA" w:rsidRPr="00877C76">
        <w:t xml:space="preserve">feet north of Marcus Avenue and 600 feet east of Community Drive Road on the Deepdale Golf Course property.  </w:t>
      </w:r>
      <w:r w:rsidRPr="00877C76">
        <w:t>M</w:t>
      </w:r>
      <w:r w:rsidR="00D1192A" w:rsidRPr="00877C76">
        <w:t>o</w:t>
      </w:r>
      <w:r w:rsidR="007B2E05">
        <w:t>nitoring well 43</w:t>
      </w:r>
      <w:r w:rsidR="00D1192A" w:rsidRPr="00877C76">
        <w:t xml:space="preserve">MI is an outpost monitoring well for </w:t>
      </w:r>
      <w:r w:rsidR="00260CFE" w:rsidRPr="00877C76">
        <w:t xml:space="preserve">three </w:t>
      </w:r>
      <w:r w:rsidR="00D1192A" w:rsidRPr="00877C76">
        <w:t xml:space="preserve">public supply wells located northeast. </w:t>
      </w:r>
      <w:r w:rsidR="008A74AA" w:rsidRPr="00877C76">
        <w:t xml:space="preserve">The </w:t>
      </w:r>
      <w:r w:rsidR="007B2E05">
        <w:t xml:space="preserve">total </w:t>
      </w:r>
      <w:r w:rsidR="008A74AA" w:rsidRPr="00877C76">
        <w:t xml:space="preserve">VOC concentration </w:t>
      </w:r>
      <w:r w:rsidR="00B53CE4" w:rsidRPr="00877C76">
        <w:t xml:space="preserve">in </w:t>
      </w:r>
      <w:r w:rsidR="008A74AA" w:rsidRPr="00877C76">
        <w:t>monitoring well 31MI</w:t>
      </w:r>
      <w:r w:rsidR="007B2E05">
        <w:t xml:space="preserve">, </w:t>
      </w:r>
      <w:r w:rsidR="007B2E05" w:rsidRPr="00877C76">
        <w:t>located approximately 5,000 feet north of Marcus Avenue and 500 feet east of Community Drive</w:t>
      </w:r>
      <w:r w:rsidR="007B2E05">
        <w:t>,</w:t>
      </w:r>
      <w:r w:rsidR="008A74AA" w:rsidRPr="00877C76">
        <w:t xml:space="preserve"> </w:t>
      </w:r>
      <w:r w:rsidRPr="00877C76">
        <w:t>was</w:t>
      </w:r>
      <w:r w:rsidR="00480321" w:rsidRPr="00877C76">
        <w:t xml:space="preserve"> </w:t>
      </w:r>
      <w:r w:rsidR="008A74AA" w:rsidRPr="00877C76">
        <w:t>360 ppb in 2009</w:t>
      </w:r>
      <w:r w:rsidR="00816F08" w:rsidRPr="00877C76">
        <w:t xml:space="preserve"> and 430 ppb in 2012.</w:t>
      </w:r>
      <w:r w:rsidR="00480321" w:rsidRPr="00877C76">
        <w:t xml:space="preserve"> </w:t>
      </w:r>
      <w:r w:rsidR="0083570E" w:rsidRPr="00877C76">
        <w:t>M</w:t>
      </w:r>
      <w:r w:rsidR="007B2E05">
        <w:t>onitoring well 31</w:t>
      </w:r>
      <w:r w:rsidR="00B53CE4" w:rsidRPr="00877C76">
        <w:t xml:space="preserve">MI is an outpost monitoring well for </w:t>
      </w:r>
      <w:r w:rsidRPr="00877C76">
        <w:t xml:space="preserve">three </w:t>
      </w:r>
      <w:r w:rsidR="00B53CE4" w:rsidRPr="00877C76">
        <w:t xml:space="preserve">public supply wells located </w:t>
      </w:r>
      <w:r w:rsidR="0099372E" w:rsidRPr="00877C76">
        <w:t xml:space="preserve">to the </w:t>
      </w:r>
      <w:r w:rsidR="00B53CE4" w:rsidRPr="00877C76">
        <w:t xml:space="preserve">northeast. </w:t>
      </w:r>
    </w:p>
    <w:p w:rsidR="00D9176E" w:rsidRPr="00877C76" w:rsidRDefault="00D9176E" w:rsidP="00247138">
      <w:pPr>
        <w:jc w:val="both"/>
      </w:pPr>
    </w:p>
    <w:p w:rsidR="001D0D5C" w:rsidRPr="00877C76" w:rsidRDefault="007B2E05" w:rsidP="00247138">
      <w:pPr>
        <w:jc w:val="both"/>
      </w:pPr>
      <w:r>
        <w:t xml:space="preserve">The total </w:t>
      </w:r>
      <w:r w:rsidR="00D9176E" w:rsidRPr="00877C76">
        <w:t xml:space="preserve">VOC concentration in monitoring well 46MI </w:t>
      </w:r>
      <w:r w:rsidR="002D6CFE" w:rsidRPr="00877C76">
        <w:t xml:space="preserve">was </w:t>
      </w:r>
      <w:r w:rsidR="00D9176E" w:rsidRPr="00877C76">
        <w:t xml:space="preserve">110 ppb in 2009 and 370 ppb </w:t>
      </w:r>
      <w:r w:rsidR="00A9068D" w:rsidRPr="00877C76">
        <w:t>in 2012</w:t>
      </w:r>
      <w:r w:rsidR="002D6CFE" w:rsidRPr="00877C76">
        <w:t>. This well is</w:t>
      </w:r>
      <w:r w:rsidR="00A9068D" w:rsidRPr="00877C76">
        <w:t xml:space="preserve"> located approximately </w:t>
      </w:r>
      <w:r w:rsidR="00D9176E" w:rsidRPr="00877C76">
        <w:t>4</w:t>
      </w:r>
      <w:r w:rsidR="008A5D32" w:rsidRPr="00877C76">
        <w:t>,</w:t>
      </w:r>
      <w:r w:rsidR="00D9176E" w:rsidRPr="00877C76">
        <w:t>500 feet north of Marcus Avenue and 800 feet west of Community Drive.</w:t>
      </w:r>
      <w:r w:rsidR="004C146A" w:rsidRPr="00877C76">
        <w:t xml:space="preserve"> </w:t>
      </w:r>
      <w:r>
        <w:t xml:space="preserve">The total </w:t>
      </w:r>
      <w:r w:rsidR="00DC386C" w:rsidRPr="00877C76">
        <w:t xml:space="preserve">VOC concentration found in monitoring well 50MI </w:t>
      </w:r>
      <w:r w:rsidR="002D6CFE" w:rsidRPr="00877C76">
        <w:t xml:space="preserve">was </w:t>
      </w:r>
      <w:r w:rsidR="00DC386C" w:rsidRPr="00877C76">
        <w:t>330</w:t>
      </w:r>
      <w:r w:rsidR="00247138" w:rsidRPr="00877C76">
        <w:t xml:space="preserve"> </w:t>
      </w:r>
      <w:r w:rsidR="00DC386C" w:rsidRPr="00877C76">
        <w:t>ppb</w:t>
      </w:r>
      <w:r w:rsidR="002D6CFE" w:rsidRPr="00877C76">
        <w:t>. This well is</w:t>
      </w:r>
      <w:r w:rsidR="00DC386C" w:rsidRPr="00877C76">
        <w:t xml:space="preserve"> located southeast on an adjacent property</w:t>
      </w:r>
      <w:r w:rsidR="000E7AF7" w:rsidRPr="00877C76">
        <w:t>.</w:t>
      </w:r>
      <w:r w:rsidR="00057590" w:rsidRPr="00877C76">
        <w:t xml:space="preserve"> </w:t>
      </w:r>
      <w:r>
        <w:t xml:space="preserve">The </w:t>
      </w:r>
      <w:r w:rsidR="00467E10" w:rsidRPr="00877C76">
        <w:t>VOC concentration found in monitoring well 44MI, located approximately 500 feet west of Lakeville Road</w:t>
      </w:r>
      <w:r w:rsidR="002D6CFE" w:rsidRPr="00877C76">
        <w:t>, was 860 ppb</w:t>
      </w:r>
      <w:r w:rsidR="00467E10" w:rsidRPr="00877C76">
        <w:t>.</w:t>
      </w:r>
      <w:r w:rsidR="0029400B" w:rsidRPr="00877C76">
        <w:t xml:space="preserve"> </w:t>
      </w:r>
      <w:r>
        <w:t xml:space="preserve">The total </w:t>
      </w:r>
      <w:r w:rsidR="001D0D5C" w:rsidRPr="00877C76">
        <w:t>VOC concentration found in outpost monitoring well 51MI</w:t>
      </w:r>
      <w:r w:rsidR="002D6CFE" w:rsidRPr="00877C76">
        <w:t>,</w:t>
      </w:r>
      <w:r w:rsidR="001D0D5C" w:rsidRPr="00877C76">
        <w:t xml:space="preserve"> </w:t>
      </w:r>
      <w:r w:rsidR="00B031F0" w:rsidRPr="00877C76">
        <w:t>for</w:t>
      </w:r>
      <w:r w:rsidR="001D0D5C" w:rsidRPr="00877C76">
        <w:t xml:space="preserve"> the </w:t>
      </w:r>
      <w:r w:rsidR="001D0D5C" w:rsidRPr="00877C76">
        <w:lastRenderedPageBreak/>
        <w:t>public supply well N-5099</w:t>
      </w:r>
      <w:r w:rsidR="002D6CFE" w:rsidRPr="00877C76">
        <w:t xml:space="preserve">, was </w:t>
      </w:r>
      <w:r w:rsidR="001E3D82" w:rsidRPr="00877C76">
        <w:t>n</w:t>
      </w:r>
      <w:r w:rsidR="001D0D5C" w:rsidRPr="00877C76">
        <w:t>on-</w:t>
      </w:r>
      <w:r w:rsidR="001E3D82" w:rsidRPr="00877C76">
        <w:t>d</w:t>
      </w:r>
      <w:r w:rsidR="001D0D5C" w:rsidRPr="00877C76">
        <w:t xml:space="preserve">etect in 2010 and </w:t>
      </w:r>
      <w:r w:rsidR="00E9566B" w:rsidRPr="00877C76">
        <w:t>4.7</w:t>
      </w:r>
      <w:r w:rsidR="001D0D5C" w:rsidRPr="00877C76">
        <w:t xml:space="preserve"> ppb in 2012</w:t>
      </w:r>
      <w:r w:rsidR="002D6CFE" w:rsidRPr="00877C76">
        <w:t>. This well is</w:t>
      </w:r>
      <w:r w:rsidR="001D0D5C" w:rsidRPr="00877C76">
        <w:t xml:space="preserve"> located approximately </w:t>
      </w:r>
      <w:r w:rsidR="00E9566B" w:rsidRPr="00877C76">
        <w:t>6</w:t>
      </w:r>
      <w:r w:rsidR="00083141" w:rsidRPr="00877C76">
        <w:t>,500</w:t>
      </w:r>
      <w:r w:rsidR="001D0D5C" w:rsidRPr="00877C76">
        <w:t xml:space="preserve"> feet north of Marcus Avenue and 800 feet west of Community Drive</w:t>
      </w:r>
      <w:r w:rsidR="00E9566B" w:rsidRPr="00877C76">
        <w:t xml:space="preserve"> on </w:t>
      </w:r>
      <w:r w:rsidR="00B165B3" w:rsidRPr="00877C76">
        <w:t xml:space="preserve">the </w:t>
      </w:r>
      <w:r w:rsidR="00E9566B" w:rsidRPr="00877C76">
        <w:t>Fresh Meadow Golf Course property.</w:t>
      </w:r>
    </w:p>
    <w:p w:rsidR="008A74AA" w:rsidRPr="00877C76" w:rsidRDefault="008A74AA" w:rsidP="00247138">
      <w:pPr>
        <w:jc w:val="both"/>
      </w:pPr>
    </w:p>
    <w:p w:rsidR="005B509B" w:rsidRPr="00877C76" w:rsidRDefault="005B509B" w:rsidP="00247138">
      <w:pPr>
        <w:jc w:val="both"/>
      </w:pPr>
      <w:r w:rsidRPr="00877C76">
        <w:t xml:space="preserve">The </w:t>
      </w:r>
      <w:r w:rsidR="00307A74" w:rsidRPr="00877C76">
        <w:t>groundwater flow is</w:t>
      </w:r>
      <w:r w:rsidRPr="00877C76">
        <w:t xml:space="preserve"> to the northwest, except in local areas affected by current pumping. The Water Authority of Great Neck North supply wells N12999 and N13000 are actively pumping water for public supply purposes. The</w:t>
      </w:r>
      <w:r w:rsidR="00CF0F3C" w:rsidRPr="00877C76">
        <w:t xml:space="preserve"> effect </w:t>
      </w:r>
      <w:r w:rsidR="00CC4932" w:rsidRPr="00877C76">
        <w:t xml:space="preserve">the pumping of these </w:t>
      </w:r>
      <w:r w:rsidRPr="00877C76">
        <w:t>public supply wells have on the plume is seen as the 5 ppb VOC contour is deflected toward the</w:t>
      </w:r>
      <w:r w:rsidR="00CF0F3C" w:rsidRPr="00877C76">
        <w:t>se</w:t>
      </w:r>
      <w:r w:rsidRPr="00877C76">
        <w:t xml:space="preserve"> pumping wells. </w:t>
      </w:r>
    </w:p>
    <w:p w:rsidR="005B509B" w:rsidRPr="00877C76" w:rsidRDefault="005B509B" w:rsidP="00247138">
      <w:pPr>
        <w:widowControl/>
        <w:jc w:val="both"/>
      </w:pPr>
    </w:p>
    <w:p w:rsidR="00CA785B" w:rsidRPr="00877C76" w:rsidRDefault="00CA785B" w:rsidP="00247138">
      <w:pPr>
        <w:jc w:val="both"/>
        <w:rPr>
          <w:u w:val="single"/>
        </w:rPr>
      </w:pPr>
      <w:r w:rsidRPr="00877C76">
        <w:rPr>
          <w:u w:val="single"/>
        </w:rPr>
        <w:t>Basal Magothy Aquifer:</w:t>
      </w:r>
    </w:p>
    <w:p w:rsidR="00247138" w:rsidRPr="00877C76" w:rsidRDefault="00247138" w:rsidP="00247138">
      <w:pPr>
        <w:jc w:val="both"/>
      </w:pPr>
    </w:p>
    <w:p w:rsidR="009730D7" w:rsidRPr="00877C76" w:rsidRDefault="00CA785B" w:rsidP="00247138">
      <w:pPr>
        <w:jc w:val="both"/>
      </w:pPr>
      <w:r w:rsidRPr="00877C76">
        <w:t xml:space="preserve">The VOC plume, as defined by the 5 ppb contour </w:t>
      </w:r>
      <w:r w:rsidR="00376AC3" w:rsidRPr="00877C76">
        <w:t>on Figure 3</w:t>
      </w:r>
      <w:r w:rsidR="002D6CFE" w:rsidRPr="00877C76">
        <w:t>,</w:t>
      </w:r>
      <w:r w:rsidR="00376AC3" w:rsidRPr="00877C76">
        <w:t xml:space="preserve"> </w:t>
      </w:r>
      <w:r w:rsidRPr="00877C76">
        <w:t xml:space="preserve">extends </w:t>
      </w:r>
      <w:r w:rsidR="00350B06" w:rsidRPr="00877C76">
        <w:t>off-site</w:t>
      </w:r>
      <w:r w:rsidRPr="00877C76">
        <w:t xml:space="preserve"> approximately 4,800 feet north of Marcus Avenue and approximately 6,000 feet west of Lakeville Road. </w:t>
      </w:r>
      <w:r w:rsidR="009730D7" w:rsidRPr="00877C76">
        <w:t xml:space="preserve">The </w:t>
      </w:r>
      <w:r w:rsidR="00551A3E" w:rsidRPr="00877C76">
        <w:t xml:space="preserve">groundwater </w:t>
      </w:r>
      <w:r w:rsidR="009730D7" w:rsidRPr="00877C76">
        <w:t>plume is migrating to the north-northwest</w:t>
      </w:r>
      <w:r w:rsidR="00551A3E" w:rsidRPr="00877C76">
        <w:t>.</w:t>
      </w:r>
      <w:r w:rsidR="0055592C" w:rsidRPr="00877C76">
        <w:t xml:space="preserve"> At least one COC was detected at concentrations above the SCGs in 8 out of 16 </w:t>
      </w:r>
      <w:r w:rsidR="00B031F0" w:rsidRPr="00877C76">
        <w:t xml:space="preserve">monitoring </w:t>
      </w:r>
      <w:r w:rsidR="0055592C" w:rsidRPr="00877C76">
        <w:t>wells.</w:t>
      </w:r>
      <w:r w:rsidR="00083141" w:rsidRPr="00877C76">
        <w:t xml:space="preserve"> </w:t>
      </w:r>
      <w:r w:rsidR="00AB1544" w:rsidRPr="00877C76">
        <w:t xml:space="preserve">The peak VOC concentration </w:t>
      </w:r>
      <w:r w:rsidR="00270360" w:rsidRPr="00877C76">
        <w:t xml:space="preserve">of 590 ppb </w:t>
      </w:r>
      <w:r w:rsidR="00AB1544" w:rsidRPr="00877C76">
        <w:t>was found in monitoring well 37ML located ap</w:t>
      </w:r>
      <w:r w:rsidR="00B031F0" w:rsidRPr="00877C76">
        <w:t xml:space="preserve">proximately 500 feet north of </w:t>
      </w:r>
      <w:r w:rsidR="00AB1544" w:rsidRPr="00877C76">
        <w:t>Marcus Avenue</w:t>
      </w:r>
      <w:r w:rsidR="002D6CFE" w:rsidRPr="00877C76">
        <w:t>,</w:t>
      </w:r>
      <w:r w:rsidR="00AB1544" w:rsidRPr="00877C76">
        <w:t xml:space="preserve"> and 300 feet west of Lakeville Road.</w:t>
      </w:r>
      <w:r w:rsidR="00551A3E" w:rsidRPr="00877C76">
        <w:t xml:space="preserve"> </w:t>
      </w:r>
      <w:r w:rsidR="002D6CFE" w:rsidRPr="00877C76">
        <w:t>A</w:t>
      </w:r>
      <w:r w:rsidR="00083141" w:rsidRPr="00877C76">
        <w:t xml:space="preserve"> </w:t>
      </w:r>
      <w:r w:rsidR="007B2E05">
        <w:t xml:space="preserve">total </w:t>
      </w:r>
      <w:r w:rsidR="00083141" w:rsidRPr="00877C76">
        <w:t xml:space="preserve">VOC concentration </w:t>
      </w:r>
      <w:r w:rsidR="00270360" w:rsidRPr="00877C76">
        <w:t xml:space="preserve">of 15 ppb </w:t>
      </w:r>
      <w:r w:rsidR="00083141" w:rsidRPr="00877C76">
        <w:t>was found in monitoring well 15ML</w:t>
      </w:r>
      <w:r w:rsidR="002D6CFE" w:rsidRPr="00877C76">
        <w:t>,</w:t>
      </w:r>
      <w:r w:rsidR="00083141" w:rsidRPr="00877C76">
        <w:t xml:space="preserve"> located approximately 250 feet south of Union Turnpike.</w:t>
      </w:r>
    </w:p>
    <w:p w:rsidR="009730D7" w:rsidRPr="00877C76" w:rsidRDefault="009730D7" w:rsidP="00247138">
      <w:pPr>
        <w:jc w:val="both"/>
      </w:pPr>
    </w:p>
    <w:p w:rsidR="00CA785B" w:rsidRPr="00877C76" w:rsidRDefault="00AD5EEE" w:rsidP="00247138">
      <w:pPr>
        <w:jc w:val="both"/>
        <w:rPr>
          <w:u w:val="single"/>
        </w:rPr>
      </w:pPr>
      <w:r w:rsidRPr="00877C76">
        <w:rPr>
          <w:u w:val="single"/>
        </w:rPr>
        <w:t>Lloyd Aquifer:</w:t>
      </w:r>
    </w:p>
    <w:p w:rsidR="00B53CE4" w:rsidRPr="00877C76" w:rsidRDefault="00B53CE4" w:rsidP="00247138">
      <w:pPr>
        <w:jc w:val="both"/>
      </w:pPr>
    </w:p>
    <w:p w:rsidR="007B2E05" w:rsidRDefault="00B53CE4" w:rsidP="002375F8">
      <w:pPr>
        <w:jc w:val="both"/>
      </w:pPr>
      <w:r w:rsidRPr="00877C76">
        <w:t>The groundwater sampling r</w:t>
      </w:r>
      <w:r w:rsidR="00CA785B" w:rsidRPr="00877C76">
        <w:t xml:space="preserve">esults from the former </w:t>
      </w:r>
      <w:r w:rsidR="00140824" w:rsidRPr="00877C76">
        <w:t xml:space="preserve">Lloyd </w:t>
      </w:r>
      <w:r w:rsidR="00AB1B0C" w:rsidRPr="00877C76">
        <w:t>P</w:t>
      </w:r>
      <w:r w:rsidR="00CA785B" w:rsidRPr="00877C76">
        <w:t xml:space="preserve">ublic </w:t>
      </w:r>
      <w:r w:rsidR="00AB1B0C" w:rsidRPr="00877C76">
        <w:t>S</w:t>
      </w:r>
      <w:r w:rsidR="00CA785B" w:rsidRPr="00877C76">
        <w:t xml:space="preserve">upply </w:t>
      </w:r>
      <w:r w:rsidR="00AB1B0C" w:rsidRPr="00877C76">
        <w:t>W</w:t>
      </w:r>
      <w:r w:rsidR="00CA785B" w:rsidRPr="00877C76">
        <w:t xml:space="preserve">ell N1802, Public Supply Well N12802, and Monitoring Well N12450 indicate that the </w:t>
      </w:r>
      <w:r w:rsidR="003E2272" w:rsidRPr="00877C76">
        <w:t>site</w:t>
      </w:r>
      <w:r w:rsidR="00FE5D71" w:rsidRPr="00877C76">
        <w:t>-</w:t>
      </w:r>
      <w:r w:rsidR="003E2272" w:rsidRPr="00877C76">
        <w:t xml:space="preserve">related groundwater plume </w:t>
      </w:r>
      <w:r w:rsidR="00CA785B" w:rsidRPr="00877C76">
        <w:t xml:space="preserve">present in the overlying Upper Glacial and Maghothy aquifers </w:t>
      </w:r>
      <w:r w:rsidR="003E2272" w:rsidRPr="00877C76">
        <w:t>is</w:t>
      </w:r>
      <w:r w:rsidR="00CA785B" w:rsidRPr="00877C76">
        <w:t xml:space="preserve"> not present in the Lloyd aquifer. </w:t>
      </w:r>
      <w:r w:rsidR="00F72538" w:rsidRPr="00877C76">
        <w:t>P</w:t>
      </w:r>
      <w:r w:rsidR="00CA785B" w:rsidRPr="00877C76">
        <w:t>ublic</w:t>
      </w:r>
      <w:r w:rsidR="00AB1B0C" w:rsidRPr="00877C76">
        <w:t xml:space="preserve"> supply Well N1802 </w:t>
      </w:r>
      <w:r w:rsidR="00352E56">
        <w:t xml:space="preserve">was </w:t>
      </w:r>
      <w:r w:rsidR="00A66CAB" w:rsidRPr="00877C76">
        <w:t>located</w:t>
      </w:r>
      <w:r w:rsidR="00AB1B0C" w:rsidRPr="00877C76">
        <w:t xml:space="preserve"> o</w:t>
      </w:r>
      <w:r w:rsidR="00CA785B" w:rsidRPr="00877C76">
        <w:t xml:space="preserve">n the southwest side of the site. </w:t>
      </w:r>
      <w:r w:rsidR="003E2272" w:rsidRPr="00877C76">
        <w:t>In 1996, t</w:t>
      </w:r>
      <w:r w:rsidR="00CA785B" w:rsidRPr="00877C76">
        <w:t xml:space="preserve">he work performed to repair a hole in the casing of well </w:t>
      </w:r>
      <w:r w:rsidR="003E2272" w:rsidRPr="00877C76">
        <w:t xml:space="preserve">N1802 </w:t>
      </w:r>
      <w:r w:rsidR="00352E56">
        <w:t xml:space="preserve">had </w:t>
      </w:r>
      <w:r w:rsidR="00CA785B" w:rsidRPr="00877C76">
        <w:t>successfully eliminated the source of VOCs</w:t>
      </w:r>
      <w:r w:rsidR="003E2272" w:rsidRPr="00877C76">
        <w:t xml:space="preserve"> from </w:t>
      </w:r>
      <w:r w:rsidR="00AB1B0C" w:rsidRPr="00877C76">
        <w:t xml:space="preserve">the </w:t>
      </w:r>
      <w:r w:rsidR="003E2272" w:rsidRPr="00877C76">
        <w:t>overlying aquifers</w:t>
      </w:r>
      <w:r w:rsidR="00CA785B" w:rsidRPr="00877C76">
        <w:t>.</w:t>
      </w:r>
      <w:r w:rsidR="003E2272" w:rsidRPr="00877C76">
        <w:t xml:space="preserve"> </w:t>
      </w:r>
      <w:r w:rsidR="00CA785B" w:rsidRPr="00877C76">
        <w:t xml:space="preserve">In 2011, a </w:t>
      </w:r>
      <w:r w:rsidR="00D80B3F" w:rsidRPr="00877C76">
        <w:t xml:space="preserve"> replacement </w:t>
      </w:r>
      <w:r w:rsidR="00CA785B" w:rsidRPr="00877C76">
        <w:t>Lloyd aquifer well (N137</w:t>
      </w:r>
      <w:r w:rsidR="00263E24" w:rsidRPr="00877C76">
        <w:t>4</w:t>
      </w:r>
      <w:r w:rsidR="00CA785B" w:rsidRPr="00877C76">
        <w:t xml:space="preserve">9) was installed </w:t>
      </w:r>
      <w:r w:rsidR="00902923" w:rsidRPr="00877C76">
        <w:t xml:space="preserve">approximately </w:t>
      </w:r>
      <w:r w:rsidR="00233533" w:rsidRPr="00877C76">
        <w:t xml:space="preserve">25 feet from </w:t>
      </w:r>
      <w:r w:rsidR="00CA785B" w:rsidRPr="00877C76">
        <w:t xml:space="preserve"> the former N1802 location. This well </w:t>
      </w:r>
      <w:r w:rsidR="003E2272" w:rsidRPr="00877C76">
        <w:t>currently</w:t>
      </w:r>
      <w:r w:rsidR="00CA785B" w:rsidRPr="00877C76">
        <w:t xml:space="preserve"> does not show </w:t>
      </w:r>
      <w:r w:rsidR="003E2272" w:rsidRPr="00877C76">
        <w:t xml:space="preserve">any </w:t>
      </w:r>
      <w:r w:rsidR="00CA785B" w:rsidRPr="00877C76">
        <w:t xml:space="preserve">impacts from site-related COCs. </w:t>
      </w:r>
    </w:p>
    <w:p w:rsidR="00E6019E" w:rsidRPr="00877C76" w:rsidRDefault="003E2272" w:rsidP="002375F8">
      <w:pPr>
        <w:jc w:val="both"/>
      </w:pPr>
      <w:r w:rsidRPr="00877C76">
        <w:tab/>
      </w:r>
      <w:r w:rsidRPr="00877C76">
        <w:tab/>
      </w:r>
    </w:p>
    <w:p w:rsidR="00565248" w:rsidRPr="00877C76" w:rsidRDefault="00565248" w:rsidP="00E6019E">
      <w:pPr>
        <w:widowControl/>
        <w:ind w:left="1440" w:firstLine="720"/>
        <w:jc w:val="both"/>
        <w:rPr>
          <w:rFonts w:eastAsiaTheme="minorHAnsi"/>
          <w:b/>
          <w:bCs/>
        </w:rPr>
      </w:pPr>
      <w:r w:rsidRPr="00877C76">
        <w:rPr>
          <w:rFonts w:eastAsiaTheme="minorHAnsi"/>
          <w:b/>
          <w:bCs/>
        </w:rPr>
        <w:t>Development of a Computer Groundwater Model</w:t>
      </w:r>
    </w:p>
    <w:p w:rsidR="00247138" w:rsidRPr="00877C76" w:rsidRDefault="00247138" w:rsidP="00247138">
      <w:pPr>
        <w:widowControl/>
        <w:jc w:val="both"/>
        <w:rPr>
          <w:rFonts w:eastAsiaTheme="minorHAnsi"/>
          <w:b/>
          <w:bCs/>
        </w:rPr>
      </w:pPr>
    </w:p>
    <w:p w:rsidR="00AC23BD" w:rsidRPr="00877C76" w:rsidRDefault="00565248" w:rsidP="002375F8">
      <w:pPr>
        <w:widowControl/>
        <w:jc w:val="both"/>
        <w:rPr>
          <w:rFonts w:eastAsiaTheme="minorEastAsia"/>
          <w:b/>
          <w:bCs/>
          <w:sz w:val="20"/>
          <w:szCs w:val="20"/>
        </w:rPr>
      </w:pPr>
      <w:r w:rsidRPr="00877C76">
        <w:rPr>
          <w:rFonts w:eastAsiaTheme="minorHAnsi"/>
        </w:rPr>
        <w:t xml:space="preserve">A groundwater </w:t>
      </w:r>
      <w:r w:rsidR="00D10777" w:rsidRPr="00877C76">
        <w:rPr>
          <w:rFonts w:eastAsiaTheme="minorHAnsi"/>
        </w:rPr>
        <w:t xml:space="preserve">flow and solute transport </w:t>
      </w:r>
      <w:r w:rsidR="00B60336" w:rsidRPr="00877C76">
        <w:rPr>
          <w:rFonts w:eastAsiaTheme="minorHAnsi"/>
        </w:rPr>
        <w:t xml:space="preserve">model </w:t>
      </w:r>
      <w:r w:rsidRPr="00877C76">
        <w:rPr>
          <w:rFonts w:eastAsiaTheme="minorHAnsi"/>
        </w:rPr>
        <w:t xml:space="preserve">was developed </w:t>
      </w:r>
      <w:r w:rsidR="00B60336" w:rsidRPr="00877C76">
        <w:rPr>
          <w:rFonts w:eastAsiaTheme="minorHAnsi"/>
        </w:rPr>
        <w:t>for the site.</w:t>
      </w:r>
      <w:r w:rsidRPr="00877C76">
        <w:rPr>
          <w:rFonts w:eastAsiaTheme="minorHAnsi"/>
        </w:rPr>
        <w:t xml:space="preserve"> The model was constructed in order to simulate</w:t>
      </w:r>
      <w:r w:rsidR="008C1E79" w:rsidRPr="00877C76">
        <w:rPr>
          <w:rFonts w:eastAsiaTheme="minorHAnsi"/>
        </w:rPr>
        <w:t xml:space="preserve"> </w:t>
      </w:r>
      <w:r w:rsidRPr="00877C76">
        <w:rPr>
          <w:rFonts w:eastAsiaTheme="minorHAnsi"/>
        </w:rPr>
        <w:t xml:space="preserve">groundwater flow throughout the entire thickness of the Upper Glacial and Magothy aquifers. A </w:t>
      </w:r>
      <w:r w:rsidR="00D10777" w:rsidRPr="00877C76">
        <w:rPr>
          <w:rFonts w:eastAsiaTheme="minorHAnsi"/>
        </w:rPr>
        <w:t>groundwater model documentation report</w:t>
      </w:r>
      <w:r w:rsidRPr="00877C76">
        <w:rPr>
          <w:rFonts w:eastAsiaTheme="minorHAnsi"/>
        </w:rPr>
        <w:t xml:space="preserve"> is </w:t>
      </w:r>
      <w:r w:rsidR="00D10777" w:rsidRPr="00877C76">
        <w:rPr>
          <w:rFonts w:eastAsiaTheme="minorHAnsi"/>
        </w:rPr>
        <w:t xml:space="preserve">included </w:t>
      </w:r>
      <w:r w:rsidRPr="00877C76">
        <w:rPr>
          <w:rFonts w:eastAsiaTheme="minorHAnsi"/>
        </w:rPr>
        <w:t xml:space="preserve">in the </w:t>
      </w:r>
      <w:r w:rsidR="00604C36" w:rsidRPr="00877C76">
        <w:rPr>
          <w:rFonts w:eastAsiaTheme="minorHAnsi"/>
        </w:rPr>
        <w:t>OU2</w:t>
      </w:r>
      <w:r w:rsidR="008C1E79" w:rsidRPr="00877C76">
        <w:rPr>
          <w:rFonts w:eastAsiaTheme="minorHAnsi"/>
        </w:rPr>
        <w:t xml:space="preserve"> Remedial Investigation Report and </w:t>
      </w:r>
      <w:r w:rsidR="00604C36" w:rsidRPr="00877C76">
        <w:rPr>
          <w:rFonts w:eastAsiaTheme="minorHAnsi"/>
        </w:rPr>
        <w:t>OU2</w:t>
      </w:r>
      <w:r w:rsidR="00D34668" w:rsidRPr="00877C76">
        <w:rPr>
          <w:rFonts w:eastAsiaTheme="minorHAnsi"/>
        </w:rPr>
        <w:t xml:space="preserve"> </w:t>
      </w:r>
      <w:r w:rsidR="008C1E79" w:rsidRPr="00877C76">
        <w:rPr>
          <w:rFonts w:eastAsiaTheme="minorHAnsi"/>
        </w:rPr>
        <w:t>Feasibility Study Report</w:t>
      </w:r>
      <w:r w:rsidR="00FE5D71" w:rsidRPr="00877C76">
        <w:rPr>
          <w:rFonts w:eastAsiaTheme="minorHAnsi"/>
        </w:rPr>
        <w:t>,</w:t>
      </w:r>
      <w:r w:rsidR="008C1E79" w:rsidRPr="00877C76">
        <w:rPr>
          <w:rFonts w:eastAsiaTheme="minorHAnsi"/>
        </w:rPr>
        <w:t xml:space="preserve"> dated May 2012.</w:t>
      </w:r>
      <w:r w:rsidR="00B60336" w:rsidRPr="00877C76">
        <w:rPr>
          <w:rFonts w:eastAsiaTheme="minorHAnsi"/>
        </w:rPr>
        <w:t xml:space="preserve"> </w:t>
      </w:r>
      <w:r w:rsidR="0005071C" w:rsidRPr="00877C76">
        <w:rPr>
          <w:rFonts w:eastAsiaTheme="minorHAnsi"/>
        </w:rPr>
        <w:t xml:space="preserve"> </w:t>
      </w:r>
    </w:p>
    <w:p w:rsidR="00AC23BD" w:rsidRPr="00877C76" w:rsidRDefault="00AC23BD" w:rsidP="006C6A58">
      <w:pPr>
        <w:widowControl/>
        <w:ind w:right="-90"/>
        <w:jc w:val="both"/>
        <w:rPr>
          <w:rFonts w:eastAsiaTheme="minorEastAsia"/>
          <w:b/>
          <w:bCs/>
          <w:sz w:val="20"/>
          <w:szCs w:val="20"/>
        </w:rPr>
      </w:pPr>
    </w:p>
    <w:p w:rsidR="006C6A58" w:rsidRPr="00877C76" w:rsidRDefault="006C6A58" w:rsidP="006C6A58">
      <w:pPr>
        <w:widowControl/>
        <w:ind w:right="-90"/>
        <w:jc w:val="both"/>
      </w:pPr>
      <w:r w:rsidRPr="00877C76">
        <w:rPr>
          <w:rFonts w:eastAsiaTheme="minorEastAsia"/>
          <w:b/>
          <w:bCs/>
          <w:sz w:val="20"/>
          <w:szCs w:val="20"/>
        </w:rPr>
        <w:t xml:space="preserve">Table </w:t>
      </w:r>
      <w:r w:rsidR="00551B03" w:rsidRPr="00877C76">
        <w:rPr>
          <w:rFonts w:eastAsiaTheme="minorEastAsia"/>
          <w:b/>
          <w:bCs/>
          <w:sz w:val="20"/>
          <w:szCs w:val="20"/>
        </w:rPr>
        <w:t>1</w:t>
      </w:r>
      <w:r w:rsidRPr="00877C76">
        <w:rPr>
          <w:rFonts w:eastAsiaTheme="minorEastAsia"/>
          <w:b/>
          <w:bCs/>
          <w:sz w:val="20"/>
          <w:szCs w:val="20"/>
        </w:rPr>
        <w:t xml:space="preserve"> - Groundwater</w:t>
      </w:r>
    </w:p>
    <w:tbl>
      <w:tblPr>
        <w:tblW w:w="0" w:type="auto"/>
        <w:jc w:val="center"/>
        <w:tblLayout w:type="fixed"/>
        <w:tblCellMar>
          <w:left w:w="120" w:type="dxa"/>
          <w:right w:w="120" w:type="dxa"/>
        </w:tblCellMar>
        <w:tblLook w:val="0000"/>
      </w:tblPr>
      <w:tblGrid>
        <w:gridCol w:w="2520"/>
        <w:gridCol w:w="2520"/>
        <w:gridCol w:w="2520"/>
        <w:gridCol w:w="2520"/>
      </w:tblGrid>
      <w:tr w:rsidR="006C6A58" w:rsidRPr="00877C76" w:rsidTr="007B5D3C">
        <w:trPr>
          <w:trHeight w:hRule="exact" w:val="782"/>
          <w:tblHeader/>
          <w:jc w:val="center"/>
        </w:trPr>
        <w:tc>
          <w:tcPr>
            <w:tcW w:w="2520" w:type="dxa"/>
            <w:tcBorders>
              <w:top w:val="single" w:sz="7" w:space="0" w:color="000000"/>
              <w:left w:val="single" w:sz="7" w:space="0" w:color="000000"/>
              <w:bottom w:val="single" w:sz="15" w:space="0" w:color="000000"/>
              <w:right w:val="single" w:sz="7" w:space="0" w:color="000000"/>
            </w:tcBorders>
          </w:tcPr>
          <w:p w:rsidR="006C6A58" w:rsidRPr="00877C76" w:rsidRDefault="006C6A58" w:rsidP="00223299">
            <w:pPr>
              <w:spacing w:line="120" w:lineRule="exact"/>
              <w:rPr>
                <w:rFonts w:eastAsiaTheme="minorEastAsia"/>
                <w:sz w:val="20"/>
                <w:szCs w:val="20"/>
              </w:rPr>
            </w:pPr>
          </w:p>
          <w:p w:rsidR="006C6A58" w:rsidRPr="00877C76" w:rsidRDefault="006C6A58" w:rsidP="00223299">
            <w:pPr>
              <w:widowControl/>
              <w:spacing w:after="58"/>
              <w:rPr>
                <w:rFonts w:eastAsiaTheme="minorEastAsia"/>
                <w:sz w:val="20"/>
                <w:szCs w:val="20"/>
              </w:rPr>
            </w:pPr>
            <w:r w:rsidRPr="00877C76">
              <w:rPr>
                <w:rFonts w:eastAsiaTheme="minorEastAsia"/>
                <w:sz w:val="20"/>
                <w:szCs w:val="20"/>
              </w:rPr>
              <w:t>Detected Constituents</w:t>
            </w:r>
          </w:p>
        </w:tc>
        <w:tc>
          <w:tcPr>
            <w:tcW w:w="2520" w:type="dxa"/>
            <w:tcBorders>
              <w:top w:val="single" w:sz="7" w:space="0" w:color="000000"/>
              <w:left w:val="single" w:sz="7" w:space="0" w:color="000000"/>
              <w:bottom w:val="single" w:sz="15" w:space="0" w:color="000000"/>
              <w:right w:val="single" w:sz="7" w:space="0" w:color="000000"/>
            </w:tcBorders>
          </w:tcPr>
          <w:p w:rsidR="006C6A58" w:rsidRPr="00877C76" w:rsidRDefault="006C6A58" w:rsidP="00223299">
            <w:pPr>
              <w:spacing w:line="120" w:lineRule="exact"/>
              <w:rPr>
                <w:rFonts w:eastAsiaTheme="minorEastAsia"/>
                <w:sz w:val="20"/>
                <w:szCs w:val="20"/>
              </w:rPr>
            </w:pPr>
          </w:p>
          <w:p w:rsidR="006C6A58" w:rsidRPr="00877C76" w:rsidRDefault="006C6A58" w:rsidP="00223299">
            <w:pPr>
              <w:widowControl/>
              <w:spacing w:after="58"/>
              <w:jc w:val="center"/>
              <w:rPr>
                <w:rFonts w:eastAsiaTheme="minorEastAsia"/>
                <w:sz w:val="20"/>
                <w:szCs w:val="20"/>
              </w:rPr>
            </w:pPr>
            <w:r w:rsidRPr="00877C76">
              <w:rPr>
                <w:rFonts w:eastAsiaTheme="minorEastAsia"/>
                <w:sz w:val="20"/>
                <w:szCs w:val="20"/>
              </w:rPr>
              <w:t>Concentration Range Detected (ppb)</w:t>
            </w:r>
            <w:r w:rsidRPr="00877C76">
              <w:rPr>
                <w:rFonts w:eastAsiaTheme="minorEastAsia"/>
                <w:sz w:val="20"/>
                <w:szCs w:val="20"/>
                <w:vertAlign w:val="superscript"/>
              </w:rPr>
              <w:t>a</w:t>
            </w:r>
          </w:p>
        </w:tc>
        <w:tc>
          <w:tcPr>
            <w:tcW w:w="2520" w:type="dxa"/>
            <w:tcBorders>
              <w:top w:val="single" w:sz="7" w:space="0" w:color="000000"/>
              <w:left w:val="single" w:sz="7" w:space="0" w:color="000000"/>
              <w:bottom w:val="single" w:sz="15" w:space="0" w:color="000000"/>
              <w:right w:val="single" w:sz="7" w:space="0" w:color="000000"/>
            </w:tcBorders>
          </w:tcPr>
          <w:p w:rsidR="006C6A58" w:rsidRPr="00877C76" w:rsidRDefault="006C6A58" w:rsidP="00223299">
            <w:pPr>
              <w:spacing w:line="120" w:lineRule="exact"/>
              <w:rPr>
                <w:rFonts w:eastAsiaTheme="minorEastAsia"/>
                <w:sz w:val="20"/>
                <w:szCs w:val="20"/>
              </w:rPr>
            </w:pPr>
          </w:p>
          <w:p w:rsidR="006C6A58" w:rsidRPr="00877C76" w:rsidRDefault="006C6A58" w:rsidP="00223299">
            <w:pPr>
              <w:widowControl/>
              <w:jc w:val="center"/>
              <w:rPr>
                <w:rFonts w:eastAsiaTheme="minorEastAsia"/>
                <w:sz w:val="20"/>
                <w:szCs w:val="20"/>
                <w:vertAlign w:val="superscript"/>
              </w:rPr>
            </w:pPr>
            <w:r w:rsidRPr="00877C76">
              <w:rPr>
                <w:rFonts w:eastAsiaTheme="minorEastAsia"/>
                <w:sz w:val="20"/>
                <w:szCs w:val="20"/>
              </w:rPr>
              <w:t>SCG</w:t>
            </w:r>
            <w:r w:rsidRPr="00877C76">
              <w:rPr>
                <w:rFonts w:eastAsiaTheme="minorEastAsia"/>
                <w:sz w:val="20"/>
                <w:szCs w:val="20"/>
                <w:vertAlign w:val="superscript"/>
              </w:rPr>
              <w:t>b</w:t>
            </w:r>
          </w:p>
          <w:p w:rsidR="006C6A58" w:rsidRPr="00877C76" w:rsidRDefault="006C6A58" w:rsidP="00223299">
            <w:pPr>
              <w:widowControl/>
              <w:spacing w:after="58"/>
              <w:jc w:val="center"/>
              <w:rPr>
                <w:rFonts w:eastAsiaTheme="minorEastAsia"/>
                <w:sz w:val="20"/>
                <w:szCs w:val="20"/>
              </w:rPr>
            </w:pPr>
            <w:r w:rsidRPr="00877C76">
              <w:rPr>
                <w:rFonts w:eastAsiaTheme="minorEastAsia"/>
                <w:sz w:val="20"/>
                <w:szCs w:val="20"/>
              </w:rPr>
              <w:t>(ppb)</w:t>
            </w:r>
          </w:p>
        </w:tc>
        <w:tc>
          <w:tcPr>
            <w:tcW w:w="2520" w:type="dxa"/>
            <w:tcBorders>
              <w:top w:val="single" w:sz="7" w:space="0" w:color="000000"/>
              <w:left w:val="single" w:sz="7" w:space="0" w:color="000000"/>
              <w:bottom w:val="single" w:sz="15" w:space="0" w:color="000000"/>
              <w:right w:val="single" w:sz="7" w:space="0" w:color="000000"/>
            </w:tcBorders>
          </w:tcPr>
          <w:p w:rsidR="006C6A58" w:rsidRPr="00877C76" w:rsidRDefault="006C6A58" w:rsidP="00223299">
            <w:pPr>
              <w:spacing w:line="120" w:lineRule="exact"/>
              <w:rPr>
                <w:rFonts w:eastAsiaTheme="minorEastAsia"/>
                <w:sz w:val="20"/>
                <w:szCs w:val="20"/>
              </w:rPr>
            </w:pPr>
          </w:p>
          <w:p w:rsidR="006C6A58" w:rsidRPr="00877C76" w:rsidRDefault="006C6A58" w:rsidP="00223299">
            <w:pPr>
              <w:widowControl/>
              <w:spacing w:after="58"/>
              <w:jc w:val="center"/>
              <w:rPr>
                <w:rFonts w:eastAsiaTheme="minorEastAsia"/>
                <w:sz w:val="20"/>
                <w:szCs w:val="20"/>
              </w:rPr>
            </w:pPr>
            <w:r w:rsidRPr="00877C76">
              <w:rPr>
                <w:rFonts w:eastAsiaTheme="minorEastAsia"/>
                <w:sz w:val="20"/>
                <w:szCs w:val="20"/>
              </w:rPr>
              <w:t>Frequency Exceeding SCG</w:t>
            </w:r>
          </w:p>
        </w:tc>
      </w:tr>
      <w:tr w:rsidR="006C6A58" w:rsidRPr="00877C76" w:rsidTr="007B5D3C">
        <w:trPr>
          <w:jc w:val="center"/>
        </w:trPr>
        <w:tc>
          <w:tcPr>
            <w:tcW w:w="10080" w:type="dxa"/>
            <w:gridSpan w:val="4"/>
            <w:tcBorders>
              <w:top w:val="single" w:sz="7" w:space="0" w:color="000000"/>
              <w:left w:val="single" w:sz="7" w:space="0" w:color="000000"/>
              <w:bottom w:val="single" w:sz="7" w:space="0" w:color="000000"/>
              <w:right w:val="single" w:sz="7" w:space="0" w:color="000000"/>
            </w:tcBorders>
            <w:shd w:val="clear" w:color="auto" w:fill="D9D9D9" w:themeFill="background1" w:themeFillShade="D9"/>
          </w:tcPr>
          <w:p w:rsidR="00CE0F58" w:rsidRPr="00877C76" w:rsidRDefault="006C6A58" w:rsidP="00223299">
            <w:pPr>
              <w:widowControl/>
              <w:spacing w:after="58"/>
              <w:rPr>
                <w:rFonts w:eastAsiaTheme="minorEastAsia"/>
                <w:b/>
                <w:sz w:val="20"/>
                <w:szCs w:val="20"/>
              </w:rPr>
            </w:pPr>
            <w:r w:rsidRPr="00877C76">
              <w:rPr>
                <w:rFonts w:eastAsiaTheme="minorEastAsia"/>
                <w:b/>
                <w:sz w:val="20"/>
                <w:szCs w:val="20"/>
              </w:rPr>
              <w:t>VOCs</w:t>
            </w:r>
          </w:p>
        </w:tc>
      </w:tr>
      <w:tr w:rsidR="006C6A58" w:rsidRPr="00877C76" w:rsidTr="002375F8">
        <w:trPr>
          <w:trHeight w:val="1675"/>
          <w:jc w:val="center"/>
        </w:trPr>
        <w:tc>
          <w:tcPr>
            <w:tcW w:w="2520" w:type="dxa"/>
            <w:tcBorders>
              <w:top w:val="single" w:sz="7" w:space="0" w:color="000000"/>
              <w:left w:val="single" w:sz="7" w:space="0" w:color="000000"/>
              <w:bottom w:val="single" w:sz="8" w:space="0" w:color="000000"/>
              <w:right w:val="single" w:sz="7" w:space="0" w:color="000000"/>
            </w:tcBorders>
          </w:tcPr>
          <w:p w:rsidR="006C6A58" w:rsidRPr="00877C76" w:rsidRDefault="006C6A58" w:rsidP="00223299">
            <w:pPr>
              <w:spacing w:line="120" w:lineRule="exact"/>
              <w:rPr>
                <w:rFonts w:eastAsiaTheme="minorEastAsia"/>
                <w:sz w:val="20"/>
                <w:szCs w:val="20"/>
              </w:rPr>
            </w:pPr>
          </w:p>
          <w:p w:rsidR="006C6A58" w:rsidRPr="00877C76" w:rsidRDefault="002C1ED6" w:rsidP="00223299">
            <w:pPr>
              <w:widowControl/>
              <w:spacing w:after="58"/>
              <w:rPr>
                <w:rFonts w:eastAsiaTheme="minorHAnsi"/>
                <w:sz w:val="20"/>
                <w:szCs w:val="20"/>
              </w:rPr>
            </w:pPr>
            <w:r w:rsidRPr="00877C76">
              <w:rPr>
                <w:rFonts w:eastAsiaTheme="minorHAnsi"/>
                <w:sz w:val="20"/>
                <w:szCs w:val="20"/>
              </w:rPr>
              <w:t>Cis-1,2 Dichloroethene</w:t>
            </w:r>
            <w:r w:rsidR="000D328F" w:rsidRPr="00877C76">
              <w:rPr>
                <w:rFonts w:eastAsiaTheme="minorHAnsi"/>
                <w:sz w:val="20"/>
                <w:szCs w:val="20"/>
              </w:rPr>
              <w:t xml:space="preserve"> </w:t>
            </w:r>
          </w:p>
          <w:p w:rsidR="002C1ED6" w:rsidRPr="00877C76" w:rsidRDefault="002C1ED6" w:rsidP="00223299">
            <w:pPr>
              <w:widowControl/>
              <w:spacing w:after="58"/>
              <w:rPr>
                <w:rFonts w:eastAsiaTheme="minorHAnsi"/>
                <w:sz w:val="20"/>
                <w:szCs w:val="20"/>
              </w:rPr>
            </w:pPr>
            <w:r w:rsidRPr="00877C76">
              <w:rPr>
                <w:rFonts w:eastAsiaTheme="minorHAnsi"/>
                <w:sz w:val="20"/>
                <w:szCs w:val="20"/>
              </w:rPr>
              <w:t>Tetrachloroethene (PCE)</w:t>
            </w:r>
          </w:p>
          <w:p w:rsidR="002C1ED6" w:rsidRPr="00877C76" w:rsidRDefault="002C1ED6" w:rsidP="00223299">
            <w:pPr>
              <w:widowControl/>
              <w:spacing w:after="58"/>
              <w:rPr>
                <w:rFonts w:eastAsiaTheme="minorHAnsi"/>
                <w:sz w:val="20"/>
                <w:szCs w:val="20"/>
              </w:rPr>
            </w:pPr>
            <w:r w:rsidRPr="00877C76">
              <w:rPr>
                <w:rFonts w:eastAsiaTheme="minorHAnsi"/>
                <w:sz w:val="20"/>
                <w:szCs w:val="20"/>
              </w:rPr>
              <w:t>Trichloroethene</w:t>
            </w:r>
            <w:r w:rsidR="000D328F" w:rsidRPr="00877C76">
              <w:rPr>
                <w:rFonts w:eastAsiaTheme="minorHAnsi"/>
                <w:sz w:val="20"/>
                <w:szCs w:val="20"/>
              </w:rPr>
              <w:t xml:space="preserve"> (TCE)</w:t>
            </w:r>
          </w:p>
          <w:p w:rsidR="002C1ED6" w:rsidRPr="00877C76" w:rsidRDefault="005F4114" w:rsidP="002375F8">
            <w:pPr>
              <w:widowControl/>
              <w:spacing w:after="58"/>
              <w:rPr>
                <w:rFonts w:eastAsiaTheme="minorEastAsia"/>
                <w:sz w:val="20"/>
                <w:szCs w:val="20"/>
              </w:rPr>
            </w:pPr>
            <w:r w:rsidRPr="00877C76">
              <w:rPr>
                <w:rFonts w:eastAsiaTheme="minorHAnsi"/>
                <w:sz w:val="20"/>
                <w:szCs w:val="20"/>
              </w:rPr>
              <w:t>1,1,2-Trichloro-1,2,2-triflouroethane</w:t>
            </w:r>
            <w:r w:rsidR="000D328F" w:rsidRPr="00877C76">
              <w:rPr>
                <w:rFonts w:eastAsiaTheme="minorHAnsi"/>
                <w:sz w:val="20"/>
                <w:szCs w:val="20"/>
              </w:rPr>
              <w:t xml:space="preserve"> (Freon 113)</w:t>
            </w:r>
          </w:p>
        </w:tc>
        <w:tc>
          <w:tcPr>
            <w:tcW w:w="2520" w:type="dxa"/>
            <w:tcBorders>
              <w:top w:val="single" w:sz="7" w:space="0" w:color="000000"/>
              <w:left w:val="single" w:sz="7" w:space="0" w:color="000000"/>
              <w:bottom w:val="single" w:sz="8" w:space="0" w:color="000000"/>
              <w:right w:val="single" w:sz="7" w:space="0" w:color="000000"/>
            </w:tcBorders>
          </w:tcPr>
          <w:p w:rsidR="006C6A58" w:rsidRPr="00877C76" w:rsidRDefault="006C6A58" w:rsidP="00223299">
            <w:pPr>
              <w:spacing w:line="120" w:lineRule="exact"/>
              <w:rPr>
                <w:rFonts w:eastAsiaTheme="minorEastAsia"/>
                <w:sz w:val="20"/>
                <w:szCs w:val="20"/>
              </w:rPr>
            </w:pPr>
          </w:p>
          <w:p w:rsidR="006C6A58" w:rsidRPr="00877C76" w:rsidRDefault="00561712" w:rsidP="00223299">
            <w:pPr>
              <w:widowControl/>
              <w:spacing w:after="58"/>
              <w:rPr>
                <w:rFonts w:eastAsiaTheme="minorEastAsia"/>
                <w:sz w:val="20"/>
                <w:szCs w:val="20"/>
              </w:rPr>
            </w:pPr>
            <w:r w:rsidRPr="00877C76">
              <w:rPr>
                <w:rFonts w:eastAsiaTheme="minorEastAsia"/>
                <w:sz w:val="20"/>
                <w:szCs w:val="20"/>
              </w:rPr>
              <w:t>ND</w:t>
            </w:r>
            <w:r w:rsidR="000F4B77" w:rsidRPr="00877C76">
              <w:rPr>
                <w:rFonts w:eastAsiaTheme="minorEastAsia"/>
                <w:sz w:val="20"/>
                <w:szCs w:val="20"/>
              </w:rPr>
              <w:t xml:space="preserve"> to 630</w:t>
            </w:r>
          </w:p>
          <w:p w:rsidR="000F4B77" w:rsidRPr="00877C76" w:rsidRDefault="00561712" w:rsidP="00223299">
            <w:pPr>
              <w:widowControl/>
              <w:spacing w:after="58"/>
              <w:rPr>
                <w:rFonts w:eastAsiaTheme="minorEastAsia"/>
                <w:sz w:val="20"/>
                <w:szCs w:val="20"/>
              </w:rPr>
            </w:pPr>
            <w:r w:rsidRPr="00877C76">
              <w:rPr>
                <w:rFonts w:eastAsiaTheme="minorEastAsia"/>
                <w:sz w:val="20"/>
                <w:szCs w:val="20"/>
              </w:rPr>
              <w:t>ND</w:t>
            </w:r>
            <w:r w:rsidR="0079651F" w:rsidRPr="00877C76">
              <w:rPr>
                <w:rFonts w:eastAsiaTheme="minorEastAsia"/>
                <w:sz w:val="20"/>
                <w:szCs w:val="20"/>
              </w:rPr>
              <w:t xml:space="preserve"> </w:t>
            </w:r>
            <w:r w:rsidR="000F4B77" w:rsidRPr="00877C76">
              <w:rPr>
                <w:rFonts w:eastAsiaTheme="minorEastAsia"/>
                <w:sz w:val="20"/>
                <w:szCs w:val="20"/>
              </w:rPr>
              <w:t xml:space="preserve"> to</w:t>
            </w:r>
            <w:r w:rsidRPr="00877C76">
              <w:rPr>
                <w:rFonts w:eastAsiaTheme="minorEastAsia"/>
                <w:sz w:val="20"/>
                <w:szCs w:val="20"/>
              </w:rPr>
              <w:t xml:space="preserve"> </w:t>
            </w:r>
            <w:r w:rsidR="000F4B77" w:rsidRPr="00877C76">
              <w:rPr>
                <w:rFonts w:eastAsiaTheme="minorEastAsia"/>
                <w:sz w:val="20"/>
                <w:szCs w:val="20"/>
              </w:rPr>
              <w:t>95</w:t>
            </w:r>
          </w:p>
          <w:p w:rsidR="000F4B77" w:rsidRPr="00877C76" w:rsidRDefault="00561712" w:rsidP="00223299">
            <w:pPr>
              <w:widowControl/>
              <w:spacing w:after="58"/>
              <w:rPr>
                <w:rFonts w:eastAsiaTheme="minorEastAsia"/>
                <w:sz w:val="20"/>
                <w:szCs w:val="20"/>
              </w:rPr>
            </w:pPr>
            <w:r w:rsidRPr="00877C76">
              <w:rPr>
                <w:rFonts w:eastAsiaTheme="minorEastAsia"/>
                <w:sz w:val="20"/>
                <w:szCs w:val="20"/>
              </w:rPr>
              <w:t>ND</w:t>
            </w:r>
            <w:r w:rsidR="0079651F" w:rsidRPr="00877C76">
              <w:rPr>
                <w:rFonts w:eastAsiaTheme="minorEastAsia"/>
                <w:sz w:val="20"/>
                <w:szCs w:val="20"/>
              </w:rPr>
              <w:t xml:space="preserve"> </w:t>
            </w:r>
            <w:r w:rsidR="000F4B77" w:rsidRPr="00877C76">
              <w:rPr>
                <w:rFonts w:eastAsiaTheme="minorEastAsia"/>
                <w:sz w:val="20"/>
                <w:szCs w:val="20"/>
              </w:rPr>
              <w:t>to</w:t>
            </w:r>
            <w:r w:rsidR="00FE5D71" w:rsidRPr="00877C76">
              <w:rPr>
                <w:rFonts w:eastAsiaTheme="minorEastAsia"/>
                <w:sz w:val="20"/>
                <w:szCs w:val="20"/>
              </w:rPr>
              <w:t xml:space="preserve"> </w:t>
            </w:r>
            <w:r w:rsidR="000F4B77" w:rsidRPr="00877C76">
              <w:rPr>
                <w:rFonts w:eastAsiaTheme="minorEastAsia"/>
                <w:sz w:val="20"/>
                <w:szCs w:val="20"/>
              </w:rPr>
              <w:t>190</w:t>
            </w:r>
          </w:p>
          <w:p w:rsidR="000F4B77" w:rsidRPr="00877C76" w:rsidRDefault="00561712" w:rsidP="00561712">
            <w:pPr>
              <w:widowControl/>
              <w:spacing w:after="58"/>
              <w:rPr>
                <w:rFonts w:eastAsiaTheme="minorEastAsia"/>
                <w:sz w:val="20"/>
                <w:szCs w:val="20"/>
              </w:rPr>
            </w:pPr>
            <w:r w:rsidRPr="00877C76">
              <w:rPr>
                <w:rFonts w:eastAsiaTheme="minorEastAsia"/>
                <w:sz w:val="20"/>
                <w:szCs w:val="20"/>
              </w:rPr>
              <w:t xml:space="preserve">ND </w:t>
            </w:r>
            <w:r w:rsidR="0079651F" w:rsidRPr="00877C76">
              <w:rPr>
                <w:rFonts w:eastAsiaTheme="minorEastAsia"/>
                <w:sz w:val="20"/>
                <w:szCs w:val="20"/>
              </w:rPr>
              <w:t xml:space="preserve"> </w:t>
            </w:r>
            <w:r w:rsidR="000F4B77" w:rsidRPr="00877C76">
              <w:rPr>
                <w:rFonts w:eastAsiaTheme="minorEastAsia"/>
                <w:sz w:val="20"/>
                <w:szCs w:val="20"/>
              </w:rPr>
              <w:t>to</w:t>
            </w:r>
            <w:r w:rsidR="00FE5D71" w:rsidRPr="00877C76">
              <w:rPr>
                <w:rFonts w:eastAsiaTheme="minorEastAsia"/>
                <w:sz w:val="20"/>
                <w:szCs w:val="20"/>
              </w:rPr>
              <w:t xml:space="preserve"> </w:t>
            </w:r>
            <w:r w:rsidR="000F4B77" w:rsidRPr="00877C76">
              <w:rPr>
                <w:rFonts w:eastAsiaTheme="minorEastAsia"/>
                <w:sz w:val="20"/>
                <w:szCs w:val="20"/>
              </w:rPr>
              <w:t>29</w:t>
            </w:r>
          </w:p>
        </w:tc>
        <w:tc>
          <w:tcPr>
            <w:tcW w:w="2520" w:type="dxa"/>
            <w:tcBorders>
              <w:top w:val="single" w:sz="7" w:space="0" w:color="000000"/>
              <w:left w:val="single" w:sz="7" w:space="0" w:color="000000"/>
              <w:bottom w:val="single" w:sz="8" w:space="0" w:color="000000"/>
              <w:right w:val="single" w:sz="7" w:space="0" w:color="000000"/>
            </w:tcBorders>
          </w:tcPr>
          <w:p w:rsidR="006C6A58" w:rsidRPr="00877C76" w:rsidRDefault="006C6A58" w:rsidP="00223299">
            <w:pPr>
              <w:spacing w:line="120" w:lineRule="exact"/>
              <w:rPr>
                <w:rFonts w:eastAsiaTheme="minorEastAsia"/>
                <w:sz w:val="20"/>
                <w:szCs w:val="20"/>
              </w:rPr>
            </w:pPr>
          </w:p>
          <w:p w:rsidR="006C6A58" w:rsidRPr="00877C76" w:rsidRDefault="005F4114" w:rsidP="00223299">
            <w:pPr>
              <w:widowControl/>
              <w:spacing w:after="58"/>
              <w:rPr>
                <w:rFonts w:eastAsiaTheme="minorEastAsia"/>
                <w:sz w:val="20"/>
                <w:szCs w:val="20"/>
              </w:rPr>
            </w:pPr>
            <w:r w:rsidRPr="00877C76">
              <w:rPr>
                <w:rFonts w:eastAsiaTheme="minorEastAsia"/>
                <w:sz w:val="20"/>
                <w:szCs w:val="20"/>
              </w:rPr>
              <w:t xml:space="preserve"> </w:t>
            </w:r>
            <w:r w:rsidR="00DA3AFB" w:rsidRPr="00877C76">
              <w:rPr>
                <w:rFonts w:eastAsiaTheme="minorEastAsia"/>
                <w:sz w:val="20"/>
                <w:szCs w:val="20"/>
              </w:rPr>
              <w:t xml:space="preserve">                   5</w:t>
            </w:r>
          </w:p>
          <w:p w:rsidR="00DA3AFB" w:rsidRPr="00877C76" w:rsidRDefault="00DA3AFB" w:rsidP="00223299">
            <w:pPr>
              <w:widowControl/>
              <w:spacing w:after="58"/>
              <w:rPr>
                <w:rFonts w:eastAsiaTheme="minorEastAsia"/>
                <w:sz w:val="20"/>
                <w:szCs w:val="20"/>
              </w:rPr>
            </w:pPr>
            <w:r w:rsidRPr="00877C76">
              <w:rPr>
                <w:rFonts w:eastAsiaTheme="minorEastAsia"/>
                <w:sz w:val="20"/>
                <w:szCs w:val="20"/>
              </w:rPr>
              <w:t xml:space="preserve">                    5</w:t>
            </w:r>
          </w:p>
          <w:p w:rsidR="00DA3AFB" w:rsidRPr="00877C76" w:rsidRDefault="00DA3AFB" w:rsidP="00223299">
            <w:pPr>
              <w:widowControl/>
              <w:spacing w:after="58"/>
              <w:rPr>
                <w:rFonts w:eastAsiaTheme="minorEastAsia"/>
                <w:sz w:val="20"/>
                <w:szCs w:val="20"/>
              </w:rPr>
            </w:pPr>
            <w:r w:rsidRPr="00877C76">
              <w:rPr>
                <w:rFonts w:eastAsiaTheme="minorEastAsia"/>
                <w:sz w:val="20"/>
                <w:szCs w:val="20"/>
              </w:rPr>
              <w:t xml:space="preserve">                    5</w:t>
            </w:r>
          </w:p>
          <w:p w:rsidR="00DA3AFB" w:rsidRPr="00877C76" w:rsidRDefault="00DA3AFB" w:rsidP="002375F8">
            <w:pPr>
              <w:widowControl/>
              <w:spacing w:after="58"/>
              <w:rPr>
                <w:rFonts w:eastAsiaTheme="minorEastAsia"/>
                <w:sz w:val="20"/>
                <w:szCs w:val="20"/>
              </w:rPr>
            </w:pPr>
            <w:r w:rsidRPr="00877C76">
              <w:rPr>
                <w:rFonts w:eastAsiaTheme="minorEastAsia"/>
                <w:sz w:val="20"/>
                <w:szCs w:val="20"/>
              </w:rPr>
              <w:t xml:space="preserve">                    5</w:t>
            </w:r>
          </w:p>
        </w:tc>
        <w:tc>
          <w:tcPr>
            <w:tcW w:w="2520" w:type="dxa"/>
            <w:tcBorders>
              <w:top w:val="single" w:sz="7" w:space="0" w:color="000000"/>
              <w:left w:val="single" w:sz="7" w:space="0" w:color="000000"/>
              <w:bottom w:val="single" w:sz="8" w:space="0" w:color="000000"/>
              <w:right w:val="single" w:sz="7" w:space="0" w:color="000000"/>
            </w:tcBorders>
          </w:tcPr>
          <w:p w:rsidR="006C6A58" w:rsidRPr="00877C76" w:rsidRDefault="006C6A58" w:rsidP="00223299">
            <w:pPr>
              <w:spacing w:line="120" w:lineRule="exact"/>
              <w:rPr>
                <w:rFonts w:eastAsiaTheme="minorEastAsia"/>
                <w:sz w:val="20"/>
                <w:szCs w:val="20"/>
              </w:rPr>
            </w:pPr>
          </w:p>
          <w:p w:rsidR="006C6A58" w:rsidRPr="00877C76" w:rsidRDefault="0079651F" w:rsidP="00223299">
            <w:pPr>
              <w:widowControl/>
              <w:spacing w:after="58"/>
              <w:rPr>
                <w:rFonts w:eastAsiaTheme="minorEastAsia"/>
                <w:sz w:val="20"/>
                <w:szCs w:val="20"/>
              </w:rPr>
            </w:pPr>
            <w:r w:rsidRPr="00877C76">
              <w:rPr>
                <w:rFonts w:eastAsiaTheme="minorEastAsia"/>
                <w:sz w:val="20"/>
                <w:szCs w:val="20"/>
              </w:rPr>
              <w:t xml:space="preserve">74 of </w:t>
            </w:r>
            <w:r w:rsidR="000F4B77" w:rsidRPr="00877C76">
              <w:rPr>
                <w:rFonts w:eastAsiaTheme="minorEastAsia"/>
                <w:sz w:val="20"/>
                <w:szCs w:val="20"/>
              </w:rPr>
              <w:t>143</w:t>
            </w:r>
          </w:p>
          <w:p w:rsidR="000F4B77" w:rsidRPr="00877C76" w:rsidRDefault="0079651F" w:rsidP="00223299">
            <w:pPr>
              <w:widowControl/>
              <w:spacing w:after="58"/>
              <w:rPr>
                <w:rFonts w:eastAsiaTheme="minorEastAsia"/>
                <w:sz w:val="20"/>
                <w:szCs w:val="20"/>
              </w:rPr>
            </w:pPr>
            <w:r w:rsidRPr="00877C76">
              <w:rPr>
                <w:rFonts w:eastAsiaTheme="minorEastAsia"/>
                <w:sz w:val="20"/>
                <w:szCs w:val="20"/>
              </w:rPr>
              <w:t xml:space="preserve">46 of </w:t>
            </w:r>
            <w:r w:rsidR="000F4B77" w:rsidRPr="00877C76">
              <w:rPr>
                <w:rFonts w:eastAsiaTheme="minorEastAsia"/>
                <w:sz w:val="20"/>
                <w:szCs w:val="20"/>
              </w:rPr>
              <w:t>143</w:t>
            </w:r>
          </w:p>
          <w:p w:rsidR="000F4B77" w:rsidRPr="00877C76" w:rsidRDefault="000F4B77" w:rsidP="00223299">
            <w:pPr>
              <w:widowControl/>
              <w:spacing w:after="58"/>
              <w:rPr>
                <w:rFonts w:eastAsiaTheme="minorEastAsia"/>
                <w:sz w:val="20"/>
                <w:szCs w:val="20"/>
              </w:rPr>
            </w:pPr>
            <w:r w:rsidRPr="00877C76">
              <w:rPr>
                <w:rFonts w:eastAsiaTheme="minorEastAsia"/>
                <w:sz w:val="20"/>
                <w:szCs w:val="20"/>
              </w:rPr>
              <w:t>69</w:t>
            </w:r>
            <w:r w:rsidR="0079651F" w:rsidRPr="00877C76">
              <w:rPr>
                <w:rFonts w:eastAsiaTheme="minorEastAsia"/>
                <w:sz w:val="20"/>
                <w:szCs w:val="20"/>
              </w:rPr>
              <w:t xml:space="preserve"> of</w:t>
            </w:r>
            <w:r w:rsidRPr="00877C76">
              <w:rPr>
                <w:rFonts w:eastAsiaTheme="minorEastAsia"/>
                <w:sz w:val="20"/>
                <w:szCs w:val="20"/>
              </w:rPr>
              <w:t>143</w:t>
            </w:r>
          </w:p>
          <w:p w:rsidR="0079651F" w:rsidRPr="00877C76" w:rsidRDefault="0079651F" w:rsidP="00223299">
            <w:pPr>
              <w:widowControl/>
              <w:spacing w:after="58"/>
              <w:rPr>
                <w:rFonts w:eastAsiaTheme="minorEastAsia"/>
                <w:sz w:val="20"/>
                <w:szCs w:val="20"/>
              </w:rPr>
            </w:pPr>
            <w:r w:rsidRPr="00877C76">
              <w:rPr>
                <w:rFonts w:eastAsiaTheme="minorEastAsia"/>
                <w:sz w:val="20"/>
                <w:szCs w:val="20"/>
              </w:rPr>
              <w:t>31of 143</w:t>
            </w:r>
          </w:p>
        </w:tc>
      </w:tr>
    </w:tbl>
    <w:p w:rsidR="006C6A58" w:rsidRPr="00877C76" w:rsidRDefault="006C6A58" w:rsidP="006C6A58">
      <w:pPr>
        <w:widowControl/>
        <w:ind w:right="-90"/>
        <w:jc w:val="both"/>
        <w:rPr>
          <w:sz w:val="20"/>
          <w:szCs w:val="20"/>
        </w:rPr>
      </w:pPr>
      <w:r w:rsidRPr="00877C76">
        <w:rPr>
          <w:sz w:val="20"/>
          <w:szCs w:val="20"/>
        </w:rPr>
        <w:t xml:space="preserve">a - ppb: parts per billion, which is equivalent to micrograms per liter, </w:t>
      </w:r>
      <w:r w:rsidR="006220AD" w:rsidRPr="00877C76">
        <w:rPr>
          <w:sz w:val="20"/>
          <w:szCs w:val="20"/>
        </w:rPr>
        <w:t>µ</w:t>
      </w:r>
      <w:r w:rsidRPr="00877C76">
        <w:rPr>
          <w:sz w:val="20"/>
          <w:szCs w:val="20"/>
        </w:rPr>
        <w:t>g/L, in water.</w:t>
      </w:r>
    </w:p>
    <w:p w:rsidR="006C6A58" w:rsidRPr="00877C76" w:rsidRDefault="006C6A58" w:rsidP="006C6A58">
      <w:pPr>
        <w:widowControl/>
        <w:ind w:right="-90"/>
        <w:jc w:val="both"/>
        <w:rPr>
          <w:sz w:val="20"/>
          <w:szCs w:val="20"/>
        </w:rPr>
      </w:pPr>
      <w:r w:rsidRPr="00877C76">
        <w:rPr>
          <w:sz w:val="20"/>
          <w:szCs w:val="20"/>
        </w:rPr>
        <w:t>b</w:t>
      </w:r>
      <w:r w:rsidR="00FE5D71" w:rsidRPr="00877C76">
        <w:rPr>
          <w:sz w:val="20"/>
          <w:szCs w:val="20"/>
        </w:rPr>
        <w:t xml:space="preserve"> </w:t>
      </w:r>
      <w:r w:rsidRPr="00877C76">
        <w:rPr>
          <w:sz w:val="20"/>
          <w:szCs w:val="20"/>
        </w:rPr>
        <w:t xml:space="preserve">- SCG: Standard Criteria or Guidance - Ambient Water Quality Standards and Guidance Values (TOGs 1.1.1), 6 NYCRR Part 703, Surface water and Groundwater Quality Standards, and Part 5 of the New York State Sanitary Code (10 NYCRR Part 5). </w:t>
      </w:r>
    </w:p>
    <w:p w:rsidR="006C6A58" w:rsidRPr="00877C76" w:rsidRDefault="001A1E80" w:rsidP="006C6A58">
      <w:pPr>
        <w:widowControl/>
        <w:jc w:val="both"/>
      </w:pPr>
      <w:r w:rsidRPr="00877C76">
        <w:rPr>
          <w:sz w:val="20"/>
          <w:szCs w:val="20"/>
        </w:rPr>
        <w:t>ND: Non-detect</w:t>
      </w:r>
    </w:p>
    <w:p w:rsidR="00FE5D71" w:rsidRPr="00877C76" w:rsidRDefault="00FE5D71" w:rsidP="006C6A58">
      <w:pPr>
        <w:widowControl/>
        <w:jc w:val="both"/>
      </w:pPr>
    </w:p>
    <w:p w:rsidR="006C6A58" w:rsidRPr="00877C76" w:rsidRDefault="006C6A58" w:rsidP="006C6A58">
      <w:pPr>
        <w:widowControl/>
        <w:jc w:val="both"/>
      </w:pPr>
      <w:r w:rsidRPr="00877C76">
        <w:t>Based on the findings of the RI, the</w:t>
      </w:r>
      <w:r w:rsidR="00696022" w:rsidRPr="00877C76">
        <w:t xml:space="preserve"> </w:t>
      </w:r>
      <w:r w:rsidRPr="00877C76">
        <w:t xml:space="preserve">past disposal of hazardous waste has resulted in the contamination of groundwater.  The site contaminants that are considered to be the primary contaminants of concern which will drive the remediation of groundwater to be addressed by the remedy selection process are: </w:t>
      </w:r>
      <w:r w:rsidR="00FA0826" w:rsidRPr="00877C76">
        <w:t xml:space="preserve">cis-1,2 </w:t>
      </w:r>
      <w:r w:rsidR="00845D98" w:rsidRPr="00877C76">
        <w:t>dichloroethene (</w:t>
      </w:r>
      <w:r w:rsidR="00FA0826" w:rsidRPr="00877C76">
        <w:t xml:space="preserve">cis-1,2 </w:t>
      </w:r>
      <w:r w:rsidR="00845D98" w:rsidRPr="00877C76">
        <w:t xml:space="preserve">DCE), trichloroethene (TCE), </w:t>
      </w:r>
      <w:r w:rsidR="00845D30" w:rsidRPr="00877C76">
        <w:t>tetra</w:t>
      </w:r>
      <w:r w:rsidR="00845D98" w:rsidRPr="00877C76">
        <w:t>chloroethene (PCE) and Freon 113</w:t>
      </w:r>
      <w:r w:rsidRPr="00877C76">
        <w:t>.</w:t>
      </w:r>
    </w:p>
    <w:p w:rsidR="006C6A58" w:rsidRPr="00877C76" w:rsidRDefault="006C6A58" w:rsidP="006C6A58">
      <w:pPr>
        <w:widowControl/>
      </w:pPr>
    </w:p>
    <w:p w:rsidR="00C5260F" w:rsidRPr="00877C76" w:rsidRDefault="001A1E80">
      <w:pPr>
        <w:widowControl/>
        <w:jc w:val="center"/>
        <w:rPr>
          <w:b/>
        </w:rPr>
      </w:pPr>
      <w:r w:rsidRPr="00877C76">
        <w:rPr>
          <w:b/>
        </w:rPr>
        <w:t>Surface Water</w:t>
      </w:r>
    </w:p>
    <w:p w:rsidR="00C5260F" w:rsidRPr="00877C76" w:rsidRDefault="00C5260F">
      <w:pPr>
        <w:widowControl/>
        <w:jc w:val="center"/>
        <w:rPr>
          <w:b/>
        </w:rPr>
      </w:pPr>
    </w:p>
    <w:p w:rsidR="006C6A58" w:rsidRPr="00877C76" w:rsidRDefault="006C6A58" w:rsidP="006C6A58">
      <w:pPr>
        <w:widowControl/>
        <w:jc w:val="both"/>
      </w:pPr>
      <w:r w:rsidRPr="00877C76">
        <w:t>No site-related surface water contamination of concern was identified during the RI. Therefore, no remedial alternatives need to be evaluated for surface water.</w:t>
      </w:r>
      <w:r w:rsidR="007B2E05">
        <w:t xml:space="preserve"> </w:t>
      </w:r>
    </w:p>
    <w:p w:rsidR="006C6A58" w:rsidRPr="00877C76" w:rsidRDefault="006C6A58" w:rsidP="006C6A58">
      <w:pPr>
        <w:widowControl/>
        <w:jc w:val="both"/>
      </w:pPr>
    </w:p>
    <w:p w:rsidR="00C5260F" w:rsidRPr="00877C76" w:rsidRDefault="001A1E80">
      <w:pPr>
        <w:widowControl/>
        <w:ind w:right="-90"/>
        <w:jc w:val="center"/>
        <w:rPr>
          <w:b/>
        </w:rPr>
      </w:pPr>
      <w:r w:rsidRPr="00877C76">
        <w:rPr>
          <w:b/>
        </w:rPr>
        <w:t>Sediment</w:t>
      </w:r>
    </w:p>
    <w:p w:rsidR="00FE5D71" w:rsidRPr="00877C76" w:rsidRDefault="00FE5D71" w:rsidP="006C6A58">
      <w:pPr>
        <w:widowControl/>
        <w:ind w:right="-90"/>
        <w:jc w:val="both"/>
      </w:pPr>
    </w:p>
    <w:p w:rsidR="006C6A58" w:rsidRPr="00877C76" w:rsidRDefault="006C6A58" w:rsidP="006C6A58">
      <w:pPr>
        <w:widowControl/>
        <w:ind w:right="-90"/>
        <w:jc w:val="both"/>
        <w:rPr>
          <w:sz w:val="20"/>
          <w:szCs w:val="20"/>
        </w:rPr>
      </w:pPr>
      <w:r w:rsidRPr="00877C76">
        <w:t>No site-related sediment contamination of concern was identified during the RI. Therefore, no remedial alternatives need to be evaluated for sediment.</w:t>
      </w:r>
    </w:p>
    <w:p w:rsidR="006C6A58" w:rsidRPr="00877C76" w:rsidRDefault="006C6A58" w:rsidP="006C6A58">
      <w:pPr>
        <w:widowControl/>
        <w:ind w:right="-90"/>
        <w:jc w:val="both"/>
      </w:pPr>
    </w:p>
    <w:p w:rsidR="006C6A58" w:rsidRPr="00877C76" w:rsidRDefault="006C6A58" w:rsidP="006C6A58">
      <w:pPr>
        <w:widowControl/>
        <w:tabs>
          <w:tab w:val="center" w:pos="5085"/>
        </w:tabs>
        <w:jc w:val="center"/>
      </w:pPr>
      <w:r w:rsidRPr="00877C76">
        <w:rPr>
          <w:b/>
          <w:bCs/>
        </w:rPr>
        <w:t>Soil Vapor</w:t>
      </w:r>
    </w:p>
    <w:p w:rsidR="00FE747B" w:rsidRPr="00877C76" w:rsidRDefault="00FE747B" w:rsidP="00FE747B">
      <w:pPr>
        <w:jc w:val="both"/>
      </w:pPr>
    </w:p>
    <w:p w:rsidR="00C5260F" w:rsidRPr="00877C76" w:rsidRDefault="00F82CB6">
      <w:pPr>
        <w:pStyle w:val="NoSpacing"/>
        <w:jc w:val="both"/>
        <w:rPr>
          <w:rFonts w:ascii="Times New Roman" w:hAnsi="Times New Roman"/>
        </w:rPr>
      </w:pPr>
      <w:r w:rsidRPr="00877C76">
        <w:rPr>
          <w:rFonts w:ascii="Times New Roman" w:hAnsi="Times New Roman"/>
        </w:rPr>
        <w:t>O</w:t>
      </w:r>
      <w:r w:rsidR="00D351A3" w:rsidRPr="00877C76">
        <w:rPr>
          <w:rFonts w:ascii="Times New Roman" w:hAnsi="Times New Roman"/>
        </w:rPr>
        <w:t>ff-site soil vapor intrusion (SVI) evaluations were conducted at eight properties in 2009. PCE was detected in the indoor air samples at concentrations ranging from non-detect to 1.7 micrograms per cubic meter (</w:t>
      </w:r>
      <w:r w:rsidR="002D44B3" w:rsidRPr="00877C76">
        <w:rPr>
          <w:rFonts w:ascii="Times New Roman" w:hAnsi="Times New Roman"/>
        </w:rPr>
        <w:t>µ</w:t>
      </w:r>
      <w:r w:rsidR="00D351A3" w:rsidRPr="00877C76">
        <w:rPr>
          <w:rFonts w:ascii="Times New Roman" w:hAnsi="Times New Roman"/>
        </w:rPr>
        <w:t>g/m</w:t>
      </w:r>
      <w:r w:rsidR="002D44B3" w:rsidRPr="00877C76">
        <w:rPr>
          <w:rFonts w:ascii="Times New Roman" w:hAnsi="Times New Roman"/>
        </w:rPr>
        <w:t>³</w:t>
      </w:r>
      <w:r w:rsidR="00D351A3" w:rsidRPr="00877C76">
        <w:rPr>
          <w:rFonts w:ascii="Times New Roman" w:hAnsi="Times New Roman"/>
        </w:rPr>
        <w:t>), and TCE was detected at concentrations ranging from non-detect to 0.14</w:t>
      </w:r>
      <w:r w:rsidR="006B299C" w:rsidRPr="00877C76">
        <w:rPr>
          <w:rFonts w:ascii="Times New Roman" w:hAnsi="Times New Roman"/>
        </w:rPr>
        <w:t xml:space="preserve"> µg/m³</w:t>
      </w:r>
      <w:r w:rsidR="00FE5D71" w:rsidRPr="00877C76">
        <w:rPr>
          <w:rFonts w:ascii="Times New Roman" w:hAnsi="Times New Roman"/>
        </w:rPr>
        <w:t>.</w:t>
      </w:r>
      <w:r w:rsidR="00D351A3" w:rsidRPr="00877C76">
        <w:rPr>
          <w:rFonts w:ascii="Times New Roman" w:hAnsi="Times New Roman"/>
        </w:rPr>
        <w:t xml:space="preserve"> The levels of PCE and TCE detected in the indoor air are well below the New York State Department of Health's (NYSDOH) air guideline values of </w:t>
      </w:r>
      <w:r w:rsidR="005A36B1" w:rsidRPr="00877C76">
        <w:rPr>
          <w:rFonts w:ascii="Times New Roman" w:hAnsi="Times New Roman"/>
        </w:rPr>
        <w:t xml:space="preserve">30 </w:t>
      </w:r>
      <w:r w:rsidR="006B299C" w:rsidRPr="00877C76">
        <w:rPr>
          <w:rFonts w:ascii="Times New Roman" w:hAnsi="Times New Roman"/>
        </w:rPr>
        <w:t>µg/m³</w:t>
      </w:r>
      <w:r w:rsidR="00730BB3" w:rsidRPr="00877C76">
        <w:rPr>
          <w:rFonts w:ascii="Times New Roman" w:hAnsi="Times New Roman"/>
        </w:rPr>
        <w:t xml:space="preserve"> </w:t>
      </w:r>
      <w:r w:rsidR="00D351A3" w:rsidRPr="00877C76">
        <w:rPr>
          <w:rFonts w:ascii="Times New Roman" w:hAnsi="Times New Roman"/>
        </w:rPr>
        <w:t xml:space="preserve">for PCE and 5 </w:t>
      </w:r>
      <w:r w:rsidR="006B299C" w:rsidRPr="00877C76">
        <w:rPr>
          <w:rFonts w:ascii="Times New Roman" w:hAnsi="Times New Roman"/>
        </w:rPr>
        <w:t>µ</w:t>
      </w:r>
      <w:r w:rsidR="00D351A3" w:rsidRPr="00877C76">
        <w:rPr>
          <w:rFonts w:ascii="Times New Roman" w:hAnsi="Times New Roman"/>
        </w:rPr>
        <w:t>g/m</w:t>
      </w:r>
      <w:r w:rsidR="006B299C" w:rsidRPr="00877C76">
        <w:rPr>
          <w:rFonts w:ascii="Times New Roman" w:hAnsi="Times New Roman"/>
        </w:rPr>
        <w:t>³</w:t>
      </w:r>
      <w:r w:rsidR="00D351A3" w:rsidRPr="00877C76">
        <w:rPr>
          <w:rFonts w:ascii="Times New Roman" w:hAnsi="Times New Roman"/>
        </w:rPr>
        <w:t xml:space="preserve"> for TCE, and do not represent a health concern. PCE was detected in sub-slab soil gas samples ranging from 0.7 </w:t>
      </w:r>
      <w:r w:rsidR="006B299C" w:rsidRPr="00877C76">
        <w:rPr>
          <w:rFonts w:ascii="Times New Roman" w:hAnsi="Times New Roman"/>
        </w:rPr>
        <w:t>µ</w:t>
      </w:r>
      <w:r w:rsidR="00D351A3" w:rsidRPr="00877C76">
        <w:rPr>
          <w:rFonts w:ascii="Times New Roman" w:hAnsi="Times New Roman"/>
        </w:rPr>
        <w:t>g/m</w:t>
      </w:r>
      <w:r w:rsidR="006B299C" w:rsidRPr="00877C76">
        <w:rPr>
          <w:rFonts w:ascii="Times New Roman" w:hAnsi="Times New Roman"/>
        </w:rPr>
        <w:t>³</w:t>
      </w:r>
      <w:r w:rsidR="00D351A3" w:rsidRPr="00877C76">
        <w:rPr>
          <w:rFonts w:ascii="Times New Roman" w:hAnsi="Times New Roman"/>
        </w:rPr>
        <w:t xml:space="preserve"> to 33 </w:t>
      </w:r>
      <w:r w:rsidR="00730BB3" w:rsidRPr="00877C76">
        <w:rPr>
          <w:rFonts w:ascii="Times New Roman" w:hAnsi="Times New Roman"/>
        </w:rPr>
        <w:t xml:space="preserve">µg/m³ </w:t>
      </w:r>
      <w:r w:rsidR="00D351A3" w:rsidRPr="00877C76">
        <w:rPr>
          <w:rFonts w:ascii="Times New Roman" w:hAnsi="Times New Roman"/>
        </w:rPr>
        <w:t xml:space="preserve">and TCE was detected at concentrations ranging from 0.34 </w:t>
      </w:r>
      <w:r w:rsidR="006B299C" w:rsidRPr="00877C76">
        <w:rPr>
          <w:rFonts w:ascii="Times New Roman" w:hAnsi="Times New Roman"/>
        </w:rPr>
        <w:t>µ</w:t>
      </w:r>
      <w:r w:rsidR="00D351A3" w:rsidRPr="00877C76">
        <w:rPr>
          <w:rFonts w:ascii="Times New Roman" w:hAnsi="Times New Roman"/>
        </w:rPr>
        <w:t>g/m</w:t>
      </w:r>
      <w:r w:rsidR="006B299C" w:rsidRPr="00877C76">
        <w:rPr>
          <w:rFonts w:ascii="Times New Roman" w:hAnsi="Times New Roman"/>
        </w:rPr>
        <w:t>³</w:t>
      </w:r>
      <w:r w:rsidR="00D351A3" w:rsidRPr="00877C76">
        <w:rPr>
          <w:rFonts w:ascii="Times New Roman" w:hAnsi="Times New Roman"/>
        </w:rPr>
        <w:t xml:space="preserve">to 23 </w:t>
      </w:r>
      <w:r w:rsidR="006B299C" w:rsidRPr="00877C76">
        <w:rPr>
          <w:rFonts w:ascii="Times New Roman" w:hAnsi="Times New Roman"/>
        </w:rPr>
        <w:t>µ</w:t>
      </w:r>
      <w:r w:rsidR="00D351A3" w:rsidRPr="00877C76">
        <w:rPr>
          <w:rFonts w:ascii="Times New Roman" w:hAnsi="Times New Roman"/>
        </w:rPr>
        <w:t>g/m</w:t>
      </w:r>
      <w:r w:rsidR="006B299C" w:rsidRPr="00877C76">
        <w:rPr>
          <w:rFonts w:ascii="Times New Roman" w:hAnsi="Times New Roman"/>
        </w:rPr>
        <w:t>³</w:t>
      </w:r>
      <w:r w:rsidR="00D351A3" w:rsidRPr="00877C76">
        <w:rPr>
          <w:rFonts w:ascii="Times New Roman" w:hAnsi="Times New Roman"/>
        </w:rPr>
        <w:t>.  Based on an evaluation of the indoor air and sub-slab soil gas concentrations, soil vapor intrusion is not affecting the indoor air quality of the off-site structures. No further actions are warranted.</w:t>
      </w:r>
    </w:p>
    <w:p w:rsidR="00D351A3" w:rsidRPr="00877C76" w:rsidRDefault="00D351A3" w:rsidP="00FE5D71">
      <w:pPr>
        <w:jc w:val="both"/>
      </w:pPr>
    </w:p>
    <w:p w:rsidR="00247138" w:rsidRPr="00877C76" w:rsidRDefault="00247138">
      <w:pPr>
        <w:widowControl/>
        <w:autoSpaceDE/>
        <w:autoSpaceDN/>
        <w:adjustRightInd/>
        <w:spacing w:after="200" w:line="276" w:lineRule="auto"/>
        <w:rPr>
          <w:rStyle w:val="Hypertext"/>
          <w:b/>
          <w:color w:val="auto"/>
          <w:u w:val="none"/>
        </w:rPr>
      </w:pPr>
      <w:r w:rsidRPr="00877C76">
        <w:rPr>
          <w:rStyle w:val="Hypertext"/>
          <w:b/>
          <w:color w:val="auto"/>
          <w:u w:val="none"/>
        </w:rPr>
        <w:br w:type="page"/>
      </w:r>
    </w:p>
    <w:p w:rsidR="006C6A58" w:rsidRPr="00877C76" w:rsidRDefault="006C6A58" w:rsidP="006C6A58">
      <w:pPr>
        <w:widowControl/>
        <w:rPr>
          <w:b/>
        </w:rPr>
      </w:pPr>
      <w:r w:rsidRPr="00877C76">
        <w:rPr>
          <w:rStyle w:val="Hypertext"/>
          <w:b/>
          <w:color w:val="auto"/>
          <w:u w:val="none"/>
        </w:rPr>
        <w:t>Exhibit B</w:t>
      </w:r>
    </w:p>
    <w:p w:rsidR="006C6A58" w:rsidRPr="00877C76" w:rsidRDefault="006C6A58" w:rsidP="006C6A58">
      <w:pPr>
        <w:widowControl/>
      </w:pPr>
    </w:p>
    <w:p w:rsidR="006C6A58" w:rsidRPr="00877C76" w:rsidRDefault="006C6A58" w:rsidP="006C6A58">
      <w:pPr>
        <w:widowControl/>
        <w:tabs>
          <w:tab w:val="left" w:pos="-1440"/>
        </w:tabs>
        <w:ind w:left="720" w:hanging="720"/>
        <w:rPr>
          <w:b/>
          <w:bCs/>
          <w:u w:val="single"/>
        </w:rPr>
      </w:pPr>
      <w:r w:rsidRPr="00877C76">
        <w:rPr>
          <w:b/>
          <w:bCs/>
          <w:u w:val="single"/>
        </w:rPr>
        <w:t>Description of Remedial Alternatives</w:t>
      </w:r>
    </w:p>
    <w:p w:rsidR="00CA6E2D" w:rsidRDefault="00CA6E2D" w:rsidP="006C6A58">
      <w:pPr>
        <w:widowControl/>
        <w:tabs>
          <w:tab w:val="left" w:pos="-1440"/>
        </w:tabs>
        <w:ind w:left="720" w:hanging="720"/>
        <w:rPr>
          <w:b/>
          <w:bCs/>
          <w:u w:val="single"/>
        </w:rPr>
      </w:pPr>
    </w:p>
    <w:p w:rsidR="007B2E05" w:rsidRPr="00877C76" w:rsidRDefault="007B2E05" w:rsidP="007B2E05">
      <w:pPr>
        <w:widowControl/>
        <w:jc w:val="both"/>
      </w:pPr>
      <w:r>
        <w:t>With the exception of Alternative No. 1, No Action, each of the alternatives includes the following common remedial element:</w:t>
      </w:r>
    </w:p>
    <w:p w:rsidR="007B2E05" w:rsidRPr="00877C76" w:rsidRDefault="007B2E05" w:rsidP="006C6A58">
      <w:pPr>
        <w:widowControl/>
        <w:tabs>
          <w:tab w:val="left" w:pos="-1440"/>
        </w:tabs>
        <w:ind w:left="720" w:hanging="720"/>
        <w:rPr>
          <w:b/>
          <w:bCs/>
          <w:u w:val="single"/>
        </w:rPr>
      </w:pPr>
    </w:p>
    <w:p w:rsidR="001E2EF9" w:rsidRDefault="00AD5EEE" w:rsidP="007B2E05">
      <w:pPr>
        <w:pStyle w:val="ListParagraph"/>
        <w:numPr>
          <w:ilvl w:val="0"/>
          <w:numId w:val="15"/>
        </w:numPr>
        <w:jc w:val="both"/>
      </w:pPr>
      <w:r w:rsidRPr="007B2E05">
        <w:t>Public Water Supply Pro</w:t>
      </w:r>
      <w:r w:rsidR="007B2E05">
        <w:t>tection and Mitigation Program - A</w:t>
      </w:r>
      <w:r w:rsidRPr="007B2E05">
        <w:t xml:space="preserve"> program that promotes the distribution of potable water of the highest quality will be developed and implemented, until such time as groundwater standards are achieved in all areas impacted by the Unisys Groundwater Plume. The program will be consistent with the requirements of Subpart 5-1 of the State Sanitary Code and will include, but may n</w:t>
      </w:r>
      <w:r w:rsidR="007B2E05">
        <w:t>ot be limited to, the following:</w:t>
      </w:r>
    </w:p>
    <w:p w:rsidR="001E2EF9" w:rsidRDefault="00AD5EEE" w:rsidP="001E2EF9">
      <w:pPr>
        <w:pStyle w:val="ListParagraph"/>
        <w:numPr>
          <w:ilvl w:val="1"/>
          <w:numId w:val="15"/>
        </w:numPr>
        <w:jc w:val="both"/>
      </w:pPr>
      <w:r w:rsidRPr="007B2E05">
        <w:t>an installation, operation and maintenance plan for public water supply wellhead treatment systems (including continued operation of all existing systems or installation of additional treatment systems or upgrades to existing systems) on wells affected by site-related contamination, now or in the future, to assure for as long as the wells are used as public water supply sources that drinking water standards are achieved and that the finished water is of no lesser quality as currently distributed due to actions taken as part of this remedy;</w:t>
      </w:r>
    </w:p>
    <w:p w:rsidR="001E2EF9" w:rsidRDefault="00AD5EEE" w:rsidP="001E2EF9">
      <w:pPr>
        <w:pStyle w:val="ListParagraph"/>
        <w:numPr>
          <w:ilvl w:val="1"/>
          <w:numId w:val="15"/>
        </w:numPr>
        <w:jc w:val="both"/>
      </w:pPr>
      <w:r w:rsidRPr="007B2E05">
        <w:t>a monitoring plan that will include, but may not be limited to, groundwater monitoring at sentinel wells installed upgradient of water supply wells that could potentially be affected by the continued migration of the groundwater contamination;</w:t>
      </w:r>
    </w:p>
    <w:p w:rsidR="001E2EF9" w:rsidRDefault="00AD5EEE" w:rsidP="001E2EF9">
      <w:pPr>
        <w:pStyle w:val="ListParagraph"/>
        <w:numPr>
          <w:ilvl w:val="1"/>
          <w:numId w:val="15"/>
        </w:numPr>
        <w:jc w:val="both"/>
      </w:pPr>
      <w:r w:rsidRPr="007B2E05">
        <w:t>periodic updates on the groundwater model simulation results to track contaminant migration; and</w:t>
      </w:r>
    </w:p>
    <w:p w:rsidR="007B2E05" w:rsidRDefault="00AD5EEE" w:rsidP="007B2E05">
      <w:pPr>
        <w:pStyle w:val="ListParagraph"/>
        <w:numPr>
          <w:ilvl w:val="1"/>
          <w:numId w:val="15"/>
        </w:numPr>
        <w:jc w:val="both"/>
      </w:pPr>
      <w:r w:rsidRPr="007B2E05">
        <w:t>a response plan that will be implemented if site-related contaminant concentration(s) in the sentinel well(s) approach or exceed site-specific action levels and will include, but may not be limited to, notifying the Department, NYSDOH, County Health Department and the potentially impacted water district and evaluating the rate of movement of site-related contaminants toward the public supply well(s) and the need for wellhead treatment.  If treatment is needed, an appropriate system will be designed, installed and maintained at the wellhead.</w:t>
      </w:r>
    </w:p>
    <w:p w:rsidR="007B2E05" w:rsidRDefault="007B2E05" w:rsidP="00AD5EEE">
      <w:pPr>
        <w:widowControl/>
        <w:tabs>
          <w:tab w:val="center" w:pos="5085"/>
        </w:tabs>
        <w:jc w:val="center"/>
      </w:pPr>
    </w:p>
    <w:p w:rsidR="007B2E05" w:rsidRDefault="007B2E05" w:rsidP="007B2E05">
      <w:pPr>
        <w:widowControl/>
        <w:tabs>
          <w:tab w:val="center" w:pos="5085"/>
        </w:tabs>
      </w:pPr>
      <w:r w:rsidRPr="00877C76">
        <w:t>The following alternatives were considered based on the remedial action objectives (see Section 6.5) to address the contaminated media identified at the site as described in Exhibit A.</w:t>
      </w:r>
    </w:p>
    <w:p w:rsidR="007B2E05" w:rsidRDefault="007B2E05" w:rsidP="007B2E05">
      <w:pPr>
        <w:widowControl/>
        <w:tabs>
          <w:tab w:val="center" w:pos="5085"/>
        </w:tabs>
        <w:rPr>
          <w:b/>
          <w:bCs/>
        </w:rPr>
      </w:pPr>
    </w:p>
    <w:p w:rsidR="00AD5EEE" w:rsidRPr="00877C76" w:rsidRDefault="006C6A58" w:rsidP="00AD5EEE">
      <w:pPr>
        <w:widowControl/>
        <w:tabs>
          <w:tab w:val="center" w:pos="5085"/>
        </w:tabs>
        <w:jc w:val="center"/>
      </w:pPr>
      <w:r w:rsidRPr="00877C76">
        <w:rPr>
          <w:b/>
          <w:bCs/>
        </w:rPr>
        <w:t>Alternative 1:  No Action</w:t>
      </w:r>
    </w:p>
    <w:p w:rsidR="008717BD" w:rsidRPr="00877C76" w:rsidRDefault="008717BD">
      <w:pPr>
        <w:widowControl/>
        <w:tabs>
          <w:tab w:val="left" w:pos="3491"/>
        </w:tabs>
        <w:jc w:val="both"/>
      </w:pPr>
    </w:p>
    <w:p w:rsidR="007A7505" w:rsidRPr="00877C76" w:rsidRDefault="006C6A58" w:rsidP="00007DAA">
      <w:pPr>
        <w:widowControl/>
        <w:jc w:val="both"/>
      </w:pPr>
      <w:r w:rsidRPr="00877C76">
        <w:t xml:space="preserve">The No Action Alternative is evaluated as a procedural requirement </w:t>
      </w:r>
      <w:r w:rsidR="00EE32C1" w:rsidRPr="00877C76">
        <w:t xml:space="preserve">and as a basis for comparison. </w:t>
      </w:r>
      <w:r w:rsidRPr="00877C76">
        <w:t xml:space="preserve">This alternative leaves the site in its present condition and does not provide any additional protection to public </w:t>
      </w:r>
      <w:r w:rsidR="008334C2" w:rsidRPr="00877C76">
        <w:t>health</w:t>
      </w:r>
      <w:r w:rsidR="000C2E74" w:rsidRPr="00877C76">
        <w:t xml:space="preserve"> and the environment. </w:t>
      </w:r>
      <w:r w:rsidR="00BA3A50" w:rsidRPr="00877C76">
        <w:t>This b</w:t>
      </w:r>
      <w:r w:rsidR="00B311FE" w:rsidRPr="00877C76">
        <w:t xml:space="preserve">aseline </w:t>
      </w:r>
      <w:r w:rsidR="008334C2" w:rsidRPr="00877C76">
        <w:t xml:space="preserve">scenario does not include </w:t>
      </w:r>
      <w:r w:rsidR="00B311FE" w:rsidRPr="00877C76">
        <w:t xml:space="preserve">continued </w:t>
      </w:r>
      <w:r w:rsidR="008334C2" w:rsidRPr="00877C76">
        <w:t xml:space="preserve">operation of the current </w:t>
      </w:r>
      <w:r w:rsidR="00604C36" w:rsidRPr="00877C76">
        <w:t>OU2</w:t>
      </w:r>
      <w:r w:rsidR="00F032FF" w:rsidRPr="00877C76">
        <w:t xml:space="preserve"> </w:t>
      </w:r>
      <w:r w:rsidR="008334C2" w:rsidRPr="00877C76">
        <w:t xml:space="preserve">groundwater </w:t>
      </w:r>
      <w:r w:rsidR="002C79DE" w:rsidRPr="00877C76">
        <w:t>IRM</w:t>
      </w:r>
      <w:r w:rsidR="0075233B" w:rsidRPr="00877C76">
        <w:t xml:space="preserve"> system</w:t>
      </w:r>
      <w:r w:rsidR="00EF244A" w:rsidRPr="00877C76">
        <w:t>.</w:t>
      </w:r>
      <w:r w:rsidR="00AC23BD" w:rsidRPr="00877C76">
        <w:t xml:space="preserve"> </w:t>
      </w:r>
      <w:r w:rsidR="00B6585D" w:rsidRPr="00877C76">
        <w:t xml:space="preserve">However, </w:t>
      </w:r>
      <w:r w:rsidR="00BA3A50" w:rsidRPr="00877C76">
        <w:t xml:space="preserve">the </w:t>
      </w:r>
      <w:r w:rsidR="00F032FF" w:rsidRPr="00877C76">
        <w:t>OU1</w:t>
      </w:r>
      <w:r w:rsidR="005C6CC6" w:rsidRPr="00877C76">
        <w:t xml:space="preserve"> </w:t>
      </w:r>
      <w:r w:rsidR="008334C2" w:rsidRPr="00877C76">
        <w:t xml:space="preserve">soil and groundwater remedial </w:t>
      </w:r>
      <w:r w:rsidR="0075233B" w:rsidRPr="00877C76">
        <w:t>systems will</w:t>
      </w:r>
      <w:r w:rsidR="005C6CC6" w:rsidRPr="00877C76">
        <w:t xml:space="preserve"> continue to operate </w:t>
      </w:r>
      <w:r w:rsidR="004416C6" w:rsidRPr="00877C76">
        <w:t xml:space="preserve">as </w:t>
      </w:r>
      <w:r w:rsidR="003F0707" w:rsidRPr="00877C76">
        <w:t xml:space="preserve">required by OU1 ROD and </w:t>
      </w:r>
      <w:r w:rsidR="004416C6" w:rsidRPr="00877C76">
        <w:t>the order on consent to meet the remedial goals selected for the site</w:t>
      </w:r>
      <w:r w:rsidR="001B7278" w:rsidRPr="00877C76">
        <w:t>.</w:t>
      </w:r>
      <w:r w:rsidR="004416C6" w:rsidRPr="00877C76">
        <w:t xml:space="preserve"> </w:t>
      </w:r>
    </w:p>
    <w:p w:rsidR="00F75CE5" w:rsidRPr="00877C76" w:rsidRDefault="00F75CE5">
      <w:pPr>
        <w:jc w:val="both"/>
      </w:pPr>
    </w:p>
    <w:p w:rsidR="00F75CE5" w:rsidRPr="00877C76" w:rsidRDefault="00471541">
      <w:pPr>
        <w:widowControl/>
        <w:jc w:val="both"/>
      </w:pPr>
      <w:r w:rsidRPr="00877C76">
        <w:t xml:space="preserve">The </w:t>
      </w:r>
      <w:r w:rsidR="00F032FF" w:rsidRPr="00877C76">
        <w:t>OU1</w:t>
      </w:r>
      <w:r w:rsidRPr="00877C76">
        <w:t xml:space="preserve"> </w:t>
      </w:r>
      <w:r w:rsidR="00EF244A" w:rsidRPr="00877C76">
        <w:t xml:space="preserve">groundwater </w:t>
      </w:r>
      <w:r w:rsidRPr="00877C76">
        <w:t xml:space="preserve">remediation system </w:t>
      </w:r>
      <w:r w:rsidR="00EF244A" w:rsidRPr="00877C76">
        <w:t xml:space="preserve">is </w:t>
      </w:r>
      <w:r w:rsidRPr="00877C76">
        <w:t>located in the northeast corner of the site and include</w:t>
      </w:r>
      <w:r w:rsidR="00BA3A50" w:rsidRPr="00877C76">
        <w:t>s a groundwater treatment plant and</w:t>
      </w:r>
      <w:r w:rsidRPr="00877C76">
        <w:t xml:space="preserve"> </w:t>
      </w:r>
      <w:r w:rsidR="00AC75A1" w:rsidRPr="00877C76">
        <w:t>three</w:t>
      </w:r>
      <w:r w:rsidRPr="00877C76">
        <w:t xml:space="preserve"> remedi</w:t>
      </w:r>
      <w:r w:rsidR="00EF244A" w:rsidRPr="00877C76">
        <w:t xml:space="preserve">al groundwater extraction wells. </w:t>
      </w:r>
      <w:r w:rsidRPr="00877C76">
        <w:t xml:space="preserve">Treated water is conveyed to three off-site diffusion (recharge) wells </w:t>
      </w:r>
      <w:r w:rsidR="00731A62" w:rsidRPr="00877C76">
        <w:t xml:space="preserve">located </w:t>
      </w:r>
      <w:r w:rsidRPr="00877C76">
        <w:t>northeast of the site, on property owned by the New York State Office of Parks and Historic Preservation</w:t>
      </w:r>
      <w:r w:rsidR="00731A62" w:rsidRPr="00877C76">
        <w:t>.</w:t>
      </w:r>
      <w:r w:rsidR="001E001E" w:rsidRPr="00877C76">
        <w:t xml:space="preserve"> This</w:t>
      </w:r>
      <w:r w:rsidR="00EF244A" w:rsidRPr="00877C76">
        <w:t xml:space="preserve"> </w:t>
      </w:r>
      <w:r w:rsidR="001E001E" w:rsidRPr="00877C76">
        <w:t xml:space="preserve">system is currently operating at </w:t>
      </w:r>
      <w:r w:rsidR="00BA3A50" w:rsidRPr="00877C76">
        <w:t xml:space="preserve">a </w:t>
      </w:r>
      <w:r w:rsidR="001E001E" w:rsidRPr="00877C76">
        <w:t>flow rate</w:t>
      </w:r>
      <w:r w:rsidR="00BA3A50" w:rsidRPr="00877C76">
        <w:t xml:space="preserve"> of</w:t>
      </w:r>
      <w:r w:rsidR="000700CD" w:rsidRPr="00877C76">
        <w:t xml:space="preserve"> </w:t>
      </w:r>
      <w:r w:rsidR="00C743C1" w:rsidRPr="00877C76">
        <w:t>730</w:t>
      </w:r>
      <w:r w:rsidR="00FA0846" w:rsidRPr="00877C76">
        <w:t xml:space="preserve"> </w:t>
      </w:r>
      <w:r w:rsidR="00BA3A50" w:rsidRPr="00877C76">
        <w:t>gpm</w:t>
      </w:r>
      <w:r w:rsidR="00596244" w:rsidRPr="00877C76">
        <w:t xml:space="preserve">.  </w:t>
      </w:r>
    </w:p>
    <w:p w:rsidR="00F75CE5" w:rsidRPr="00877C76" w:rsidRDefault="00F75CE5">
      <w:pPr>
        <w:widowControl/>
        <w:jc w:val="both"/>
      </w:pPr>
    </w:p>
    <w:p w:rsidR="00F75CE5" w:rsidRPr="00877C76" w:rsidRDefault="00EE32C1">
      <w:pPr>
        <w:widowControl/>
        <w:jc w:val="both"/>
      </w:pPr>
      <w:r w:rsidRPr="00877C76">
        <w:t>Ass</w:t>
      </w:r>
      <w:r w:rsidR="00BF60AA" w:rsidRPr="00877C76">
        <w:t xml:space="preserve">uming that the existing </w:t>
      </w:r>
      <w:r w:rsidR="00604C36" w:rsidRPr="00877C76">
        <w:t>OU2</w:t>
      </w:r>
      <w:r w:rsidR="00F032FF" w:rsidRPr="00877C76">
        <w:t xml:space="preserve"> </w:t>
      </w:r>
      <w:r w:rsidR="00BF60AA" w:rsidRPr="00877C76">
        <w:t xml:space="preserve">IRM is turned off and no further off-site remediation is undertaken, </w:t>
      </w:r>
      <w:r w:rsidR="00BA3A50" w:rsidRPr="00877C76">
        <w:t xml:space="preserve">a </w:t>
      </w:r>
      <w:r w:rsidR="00BF60AA" w:rsidRPr="00877C76">
        <w:t>review of the groundwater model</w:t>
      </w:r>
      <w:r w:rsidR="001126E4" w:rsidRPr="00877C76">
        <w:t>ing</w:t>
      </w:r>
      <w:r w:rsidR="00BF60AA" w:rsidRPr="00877C76">
        <w:t xml:space="preserve"> results predicts that the leading edge of the site related VOC plume will be approximately 2.5 miles downgradient of the site in approximately 30 years.</w:t>
      </w:r>
      <w:r w:rsidR="00B311FE" w:rsidRPr="00877C76">
        <w:t xml:space="preserve"> </w:t>
      </w:r>
    </w:p>
    <w:p w:rsidR="00F75CE5" w:rsidRPr="00877C76" w:rsidRDefault="00F75CE5">
      <w:pPr>
        <w:widowControl/>
        <w:jc w:val="both"/>
      </w:pPr>
    </w:p>
    <w:p w:rsidR="00F75CE5" w:rsidRPr="00877C76" w:rsidRDefault="00705E9E">
      <w:pPr>
        <w:widowControl/>
        <w:tabs>
          <w:tab w:val="right" w:leader="dot" w:pos="10170"/>
        </w:tabs>
        <w:jc w:val="both"/>
        <w:rPr>
          <w:i/>
          <w:iCs/>
        </w:rPr>
      </w:pPr>
      <w:r w:rsidRPr="00877C76">
        <w:rPr>
          <w:i/>
          <w:iCs/>
        </w:rPr>
        <w:t>Present Worth:</w:t>
      </w:r>
      <w:r w:rsidRPr="00877C76">
        <w:rPr>
          <w:i/>
          <w:iCs/>
        </w:rPr>
        <w:tab/>
        <w:t>$</w:t>
      </w:r>
      <w:r w:rsidR="00987C28" w:rsidRPr="00877C76">
        <w:rPr>
          <w:i/>
          <w:iCs/>
        </w:rPr>
        <w:t>00</w:t>
      </w:r>
    </w:p>
    <w:p w:rsidR="00F75CE5" w:rsidRPr="00877C76" w:rsidRDefault="00705E9E">
      <w:pPr>
        <w:widowControl/>
        <w:tabs>
          <w:tab w:val="right" w:leader="dot" w:pos="10170"/>
        </w:tabs>
        <w:jc w:val="both"/>
        <w:rPr>
          <w:i/>
          <w:iCs/>
        </w:rPr>
      </w:pPr>
      <w:r w:rsidRPr="00877C76">
        <w:rPr>
          <w:i/>
          <w:iCs/>
        </w:rPr>
        <w:t>Capital Cost:</w:t>
      </w:r>
      <w:r w:rsidRPr="00877C76">
        <w:rPr>
          <w:i/>
          <w:iCs/>
        </w:rPr>
        <w:tab/>
        <w:t>$</w:t>
      </w:r>
      <w:r w:rsidR="00987C28" w:rsidRPr="00877C76">
        <w:rPr>
          <w:i/>
          <w:iCs/>
        </w:rPr>
        <w:t>00</w:t>
      </w:r>
    </w:p>
    <w:p w:rsidR="00F75CE5" w:rsidRPr="00877C76" w:rsidRDefault="00705E9E">
      <w:pPr>
        <w:widowControl/>
        <w:tabs>
          <w:tab w:val="right" w:leader="dot" w:pos="10170"/>
        </w:tabs>
        <w:jc w:val="both"/>
      </w:pPr>
      <w:r w:rsidRPr="00877C76">
        <w:rPr>
          <w:i/>
          <w:iCs/>
        </w:rPr>
        <w:t>Annual Costs:</w:t>
      </w:r>
      <w:r w:rsidRPr="00877C76">
        <w:rPr>
          <w:i/>
          <w:iCs/>
        </w:rPr>
        <w:tab/>
        <w:t>$</w:t>
      </w:r>
      <w:r w:rsidR="00987C28" w:rsidRPr="00877C76">
        <w:rPr>
          <w:i/>
          <w:iCs/>
        </w:rPr>
        <w:t>00</w:t>
      </w:r>
    </w:p>
    <w:p w:rsidR="00F75CE5" w:rsidRPr="00877C76" w:rsidRDefault="00F75CE5">
      <w:pPr>
        <w:widowControl/>
        <w:jc w:val="both"/>
      </w:pPr>
    </w:p>
    <w:p w:rsidR="00AD5EEE" w:rsidRPr="00877C76" w:rsidRDefault="006C6A58" w:rsidP="00AD5EEE">
      <w:pPr>
        <w:widowControl/>
        <w:tabs>
          <w:tab w:val="center" w:pos="5085"/>
        </w:tabs>
        <w:jc w:val="center"/>
        <w:rPr>
          <w:b/>
        </w:rPr>
      </w:pPr>
      <w:r w:rsidRPr="00877C76">
        <w:rPr>
          <w:b/>
          <w:bCs/>
        </w:rPr>
        <w:t xml:space="preserve">Alternative 2: </w:t>
      </w:r>
      <w:r w:rsidR="006A04EF" w:rsidRPr="00877C76">
        <w:rPr>
          <w:b/>
        </w:rPr>
        <w:t xml:space="preserve">Continue Operation of </w:t>
      </w:r>
      <w:r w:rsidR="008D4326" w:rsidRPr="00877C76">
        <w:rPr>
          <w:b/>
        </w:rPr>
        <w:t xml:space="preserve">existing </w:t>
      </w:r>
      <w:r w:rsidR="006A04EF" w:rsidRPr="00877C76">
        <w:rPr>
          <w:b/>
        </w:rPr>
        <w:t>OU2 Groundwater IRM</w:t>
      </w:r>
      <w:r w:rsidR="003324D2" w:rsidRPr="00877C76">
        <w:rPr>
          <w:b/>
        </w:rPr>
        <w:t xml:space="preserve">, </w:t>
      </w:r>
      <w:r w:rsidR="002375F8" w:rsidRPr="00877C76">
        <w:rPr>
          <w:b/>
        </w:rPr>
        <w:t>U</w:t>
      </w:r>
      <w:r w:rsidR="003324D2" w:rsidRPr="00877C76">
        <w:rPr>
          <w:b/>
        </w:rPr>
        <w:t>pgrade OU1 groundwater treatment system</w:t>
      </w:r>
      <w:r w:rsidR="008334C2" w:rsidRPr="00877C76">
        <w:t xml:space="preserve"> </w:t>
      </w:r>
      <w:r w:rsidR="003324D2" w:rsidRPr="00877C76">
        <w:rPr>
          <w:b/>
        </w:rPr>
        <w:t xml:space="preserve">and </w:t>
      </w:r>
      <w:r w:rsidR="0023529A" w:rsidRPr="00877C76">
        <w:rPr>
          <w:b/>
        </w:rPr>
        <w:t xml:space="preserve">Public Water Supply </w:t>
      </w:r>
      <w:r w:rsidR="00987C28" w:rsidRPr="00877C76">
        <w:rPr>
          <w:b/>
        </w:rPr>
        <w:t xml:space="preserve">Protection and Mitigation </w:t>
      </w:r>
      <w:r w:rsidR="003324D2" w:rsidRPr="00877C76">
        <w:rPr>
          <w:b/>
        </w:rPr>
        <w:t>Plan</w:t>
      </w:r>
    </w:p>
    <w:p w:rsidR="008717BD" w:rsidRPr="00877C76" w:rsidRDefault="008717BD">
      <w:pPr>
        <w:widowControl/>
        <w:tabs>
          <w:tab w:val="center" w:pos="5085"/>
        </w:tabs>
        <w:jc w:val="both"/>
      </w:pPr>
    </w:p>
    <w:p w:rsidR="00E22B75" w:rsidRPr="00877C76" w:rsidRDefault="00FE5D71" w:rsidP="00007DAA">
      <w:pPr>
        <w:widowControl/>
        <w:jc w:val="both"/>
      </w:pPr>
      <w:r w:rsidRPr="00877C76">
        <w:t>This</w:t>
      </w:r>
      <w:r w:rsidR="006C6A58" w:rsidRPr="00877C76">
        <w:t xml:space="preserve"> Alternative recognizes the remediation of the site completed by the IRM(s) described in Section 6.2</w:t>
      </w:r>
      <w:r w:rsidRPr="00877C76">
        <w:t>,</w:t>
      </w:r>
      <w:r w:rsidR="006C6A58" w:rsidRPr="00877C76">
        <w:rPr>
          <w:i/>
        </w:rPr>
        <w:t xml:space="preserve"> </w:t>
      </w:r>
      <w:r w:rsidR="006C6A58" w:rsidRPr="00877C76">
        <w:t xml:space="preserve">and </w:t>
      </w:r>
      <w:r w:rsidRPr="00877C76">
        <w:t xml:space="preserve">includes </w:t>
      </w:r>
      <w:r w:rsidR="006C6A58" w:rsidRPr="00877C76">
        <w:t>Site Management and Institutional Controls and Engineering Controls</w:t>
      </w:r>
      <w:r w:rsidR="006D160F" w:rsidRPr="00877C76">
        <w:t xml:space="preserve"> </w:t>
      </w:r>
      <w:r w:rsidR="006C6A58" w:rsidRPr="00877C76">
        <w:t>to confirm the effectiveness of the IRM. This alternative maintains engineering controls which were part of the IRM and includes institutional controls, in the form of an environmental easement and site management plan, necessary to protect public health and the environment from contamination remaining at the site after the IRMs</w:t>
      </w:r>
      <w:r w:rsidR="006D160F" w:rsidRPr="00877C76">
        <w:t xml:space="preserve">. </w:t>
      </w:r>
      <w:r w:rsidR="00454554" w:rsidRPr="00877C76">
        <w:t>This alternative would include</w:t>
      </w:r>
      <w:r w:rsidRPr="00877C76">
        <w:t>:</w:t>
      </w:r>
      <w:r w:rsidR="00454554" w:rsidRPr="00877C76">
        <w:t xml:space="preserve"> </w:t>
      </w:r>
    </w:p>
    <w:p w:rsidR="00F75CE5" w:rsidRPr="00877C76" w:rsidRDefault="00F75CE5">
      <w:pPr>
        <w:widowControl/>
        <w:jc w:val="both"/>
      </w:pPr>
    </w:p>
    <w:p w:rsidR="00F75CE5" w:rsidRPr="00877C76" w:rsidRDefault="00596244">
      <w:pPr>
        <w:pStyle w:val="ListParagraph"/>
        <w:widowControl/>
        <w:numPr>
          <w:ilvl w:val="0"/>
          <w:numId w:val="8"/>
        </w:numPr>
        <w:jc w:val="both"/>
      </w:pPr>
      <w:r w:rsidRPr="00877C76">
        <w:t xml:space="preserve">the </w:t>
      </w:r>
      <w:r w:rsidR="007E7787" w:rsidRPr="00877C76">
        <w:t>c</w:t>
      </w:r>
      <w:r w:rsidR="00454554" w:rsidRPr="00877C76">
        <w:t>ontinued operation of the existin</w:t>
      </w:r>
      <w:r w:rsidR="00E339F6" w:rsidRPr="00877C76">
        <w:t xml:space="preserve">g 500 gpm </w:t>
      </w:r>
      <w:r w:rsidR="00604C36" w:rsidRPr="00877C76">
        <w:t>OU2</w:t>
      </w:r>
      <w:r w:rsidR="00F032FF" w:rsidRPr="00877C76">
        <w:t xml:space="preserve"> </w:t>
      </w:r>
      <w:r w:rsidR="00E339F6" w:rsidRPr="00877C76">
        <w:t xml:space="preserve">IRM groundwater </w:t>
      </w:r>
      <w:r w:rsidR="00454554" w:rsidRPr="00877C76">
        <w:t>extraction and treatment system at the Great Neck School;</w:t>
      </w:r>
    </w:p>
    <w:p w:rsidR="00F75CE5" w:rsidRPr="00877C76" w:rsidRDefault="00F75CE5">
      <w:pPr>
        <w:pStyle w:val="ListParagraph"/>
        <w:widowControl/>
        <w:jc w:val="both"/>
      </w:pPr>
    </w:p>
    <w:p w:rsidR="00F75CE5" w:rsidRPr="00877C76" w:rsidRDefault="00344C0D">
      <w:pPr>
        <w:pStyle w:val="ListParagraph"/>
        <w:widowControl/>
        <w:numPr>
          <w:ilvl w:val="0"/>
          <w:numId w:val="8"/>
        </w:numPr>
        <w:jc w:val="both"/>
      </w:pPr>
      <w:r w:rsidRPr="00877C76">
        <w:t>i</w:t>
      </w:r>
      <w:r w:rsidR="003324D2" w:rsidRPr="00877C76">
        <w:t>nstallation of a new 120</w:t>
      </w:r>
      <w:r w:rsidRPr="00877C76">
        <w:t xml:space="preserve"> </w:t>
      </w:r>
      <w:r w:rsidR="003324D2" w:rsidRPr="00877C76">
        <w:t xml:space="preserve">gpm extraction well and </w:t>
      </w:r>
      <w:r w:rsidR="000354F4" w:rsidRPr="00877C76">
        <w:t xml:space="preserve">increasing capacity </w:t>
      </w:r>
      <w:r w:rsidR="003324D2" w:rsidRPr="00877C76">
        <w:t xml:space="preserve"> of the current OU1 groundwater remediation system </w:t>
      </w:r>
      <w:r w:rsidR="00A44C81">
        <w:t>from 730 gpm to 850 gpm</w:t>
      </w:r>
      <w:r w:rsidR="003324D2" w:rsidRPr="00877C76">
        <w:t>;</w:t>
      </w:r>
      <w:r w:rsidR="00A44C81">
        <w:t xml:space="preserve"> and</w:t>
      </w:r>
    </w:p>
    <w:p w:rsidR="00263E24" w:rsidRPr="00877C76" w:rsidRDefault="00263E24" w:rsidP="00263E24">
      <w:pPr>
        <w:pStyle w:val="ListParagraph"/>
      </w:pPr>
    </w:p>
    <w:p w:rsidR="00263E24" w:rsidRPr="00877C76" w:rsidRDefault="00263E24" w:rsidP="00263E24">
      <w:pPr>
        <w:pStyle w:val="ListParagraph"/>
        <w:widowControl/>
        <w:numPr>
          <w:ilvl w:val="0"/>
          <w:numId w:val="8"/>
        </w:numPr>
        <w:jc w:val="both"/>
      </w:pPr>
      <w:proofErr w:type="gramStart"/>
      <w:r w:rsidRPr="00877C76">
        <w:t>upgrade</w:t>
      </w:r>
      <w:proofErr w:type="gramEnd"/>
      <w:r w:rsidRPr="00877C76">
        <w:t xml:space="preserve"> the existing</w:t>
      </w:r>
      <w:r w:rsidR="00701B7B" w:rsidRPr="00877C76">
        <w:t xml:space="preserve"> groundwater and </w:t>
      </w:r>
      <w:r w:rsidRPr="00877C76">
        <w:t>air emission control system</w:t>
      </w:r>
      <w:r w:rsidR="00701B7B" w:rsidRPr="00877C76">
        <w:t>s to accommodate the increas</w:t>
      </w:r>
      <w:r w:rsidR="0013455B">
        <w:t>ed groundwater extraction in OU</w:t>
      </w:r>
      <w:r w:rsidR="00701B7B" w:rsidRPr="00877C76">
        <w:t>1</w:t>
      </w:r>
      <w:r w:rsidR="00A44C81">
        <w:t>.</w:t>
      </w:r>
    </w:p>
    <w:p w:rsidR="00AD5EEE" w:rsidRPr="00877C76" w:rsidRDefault="00AD5EEE" w:rsidP="00AD5EEE">
      <w:pPr>
        <w:pStyle w:val="ListParagraph"/>
      </w:pPr>
    </w:p>
    <w:p w:rsidR="00F75CE5" w:rsidRPr="00877C76" w:rsidRDefault="003B7F1C">
      <w:pPr>
        <w:tabs>
          <w:tab w:val="left" w:pos="720"/>
          <w:tab w:val="left" w:pos="900"/>
        </w:tabs>
        <w:jc w:val="both"/>
      </w:pPr>
      <w:r w:rsidRPr="00877C76">
        <w:t>This alternative would remediate 59% volume of impacted groundwater.</w:t>
      </w:r>
    </w:p>
    <w:p w:rsidR="00F75CE5" w:rsidRPr="00877C76" w:rsidRDefault="00F75CE5">
      <w:pPr>
        <w:widowControl/>
        <w:jc w:val="both"/>
      </w:pPr>
    </w:p>
    <w:p w:rsidR="00F75CE5" w:rsidRPr="00877C76" w:rsidRDefault="006C6A58">
      <w:pPr>
        <w:widowControl/>
        <w:tabs>
          <w:tab w:val="right" w:leader="dot" w:pos="10170"/>
        </w:tabs>
        <w:jc w:val="both"/>
        <w:rPr>
          <w:i/>
          <w:iCs/>
        </w:rPr>
      </w:pPr>
      <w:r w:rsidRPr="00877C76">
        <w:rPr>
          <w:i/>
          <w:iCs/>
        </w:rPr>
        <w:t>Present Worth:</w:t>
      </w:r>
      <w:r w:rsidRPr="00877C76">
        <w:rPr>
          <w:i/>
          <w:iCs/>
        </w:rPr>
        <w:tab/>
        <w:t>$</w:t>
      </w:r>
      <w:r w:rsidR="00160FAD" w:rsidRPr="00877C76">
        <w:rPr>
          <w:i/>
          <w:iCs/>
        </w:rPr>
        <w:t>3</w:t>
      </w:r>
      <w:r w:rsidR="00AC2987" w:rsidRPr="00877C76">
        <w:rPr>
          <w:i/>
          <w:iCs/>
        </w:rPr>
        <w:t>2</w:t>
      </w:r>
      <w:r w:rsidR="00160FAD" w:rsidRPr="00877C76">
        <w:rPr>
          <w:i/>
          <w:iCs/>
        </w:rPr>
        <w:t>,000,000</w:t>
      </w:r>
    </w:p>
    <w:p w:rsidR="00F75CE5" w:rsidRPr="00877C76" w:rsidRDefault="006C6A58">
      <w:pPr>
        <w:widowControl/>
        <w:tabs>
          <w:tab w:val="right" w:leader="dot" w:pos="10170"/>
        </w:tabs>
        <w:jc w:val="both"/>
        <w:rPr>
          <w:i/>
          <w:iCs/>
        </w:rPr>
      </w:pPr>
      <w:r w:rsidRPr="00877C76">
        <w:rPr>
          <w:i/>
          <w:iCs/>
        </w:rPr>
        <w:t>Capital Cost:</w:t>
      </w:r>
      <w:r w:rsidRPr="00877C76">
        <w:rPr>
          <w:i/>
          <w:iCs/>
        </w:rPr>
        <w:tab/>
        <w:t>$</w:t>
      </w:r>
      <w:r w:rsidR="00AC2987" w:rsidRPr="00877C76">
        <w:rPr>
          <w:i/>
          <w:iCs/>
        </w:rPr>
        <w:t>8</w:t>
      </w:r>
      <w:r w:rsidR="00160FAD" w:rsidRPr="00877C76">
        <w:rPr>
          <w:i/>
          <w:iCs/>
        </w:rPr>
        <w:t>,</w:t>
      </w:r>
      <w:r w:rsidR="00AC2987" w:rsidRPr="00877C76">
        <w:rPr>
          <w:i/>
          <w:iCs/>
        </w:rPr>
        <w:t>6</w:t>
      </w:r>
      <w:r w:rsidR="00160FAD" w:rsidRPr="00877C76">
        <w:rPr>
          <w:i/>
          <w:iCs/>
        </w:rPr>
        <w:t>00,000</w:t>
      </w:r>
    </w:p>
    <w:p w:rsidR="00F75CE5" w:rsidRPr="00877C76" w:rsidRDefault="006C6A58">
      <w:pPr>
        <w:widowControl/>
        <w:tabs>
          <w:tab w:val="right" w:leader="dot" w:pos="10170"/>
        </w:tabs>
        <w:jc w:val="both"/>
      </w:pPr>
      <w:r w:rsidRPr="00877C76">
        <w:rPr>
          <w:i/>
          <w:iCs/>
        </w:rPr>
        <w:t>Annual Costs:</w:t>
      </w:r>
      <w:r w:rsidRPr="00877C76">
        <w:rPr>
          <w:i/>
          <w:iCs/>
        </w:rPr>
        <w:tab/>
        <w:t>$</w:t>
      </w:r>
      <w:r w:rsidR="00C624F2" w:rsidRPr="00877C76">
        <w:rPr>
          <w:i/>
          <w:iCs/>
        </w:rPr>
        <w:t>1,400,000</w:t>
      </w:r>
    </w:p>
    <w:p w:rsidR="00C5260F" w:rsidRPr="00877C76" w:rsidRDefault="00C5260F">
      <w:pPr>
        <w:widowControl/>
        <w:jc w:val="both"/>
        <w:rPr>
          <w:b/>
          <w:bCs/>
        </w:rPr>
      </w:pPr>
    </w:p>
    <w:p w:rsidR="00C5260F" w:rsidRPr="00877C76" w:rsidRDefault="008D4326">
      <w:pPr>
        <w:widowControl/>
        <w:ind w:left="2160"/>
        <w:jc w:val="both"/>
        <w:rPr>
          <w:b/>
          <w:bCs/>
        </w:rPr>
      </w:pPr>
      <w:r w:rsidRPr="00877C76">
        <w:rPr>
          <w:b/>
          <w:bCs/>
        </w:rPr>
        <w:t xml:space="preserve">Alternative 3: Removing COCs </w:t>
      </w:r>
      <w:r w:rsidR="004B0CD8" w:rsidRPr="00877C76">
        <w:rPr>
          <w:b/>
          <w:bCs/>
        </w:rPr>
        <w:t>w</w:t>
      </w:r>
      <w:r w:rsidRPr="00877C76">
        <w:rPr>
          <w:b/>
          <w:bCs/>
        </w:rPr>
        <w:t xml:space="preserve">ith </w:t>
      </w:r>
      <w:r w:rsidR="004B0CD8" w:rsidRPr="00877C76">
        <w:rPr>
          <w:b/>
          <w:bCs/>
        </w:rPr>
        <w:t xml:space="preserve">one </w:t>
      </w:r>
      <w:r w:rsidR="00B94E10" w:rsidRPr="00877C76">
        <w:rPr>
          <w:b/>
          <w:bCs/>
        </w:rPr>
        <w:t>Additional</w:t>
      </w:r>
      <w:r w:rsidRPr="00877C76">
        <w:rPr>
          <w:b/>
          <w:bCs/>
        </w:rPr>
        <w:t xml:space="preserve"> Treatment System</w:t>
      </w:r>
      <w:r w:rsidR="00832DF9" w:rsidRPr="00877C76">
        <w:rPr>
          <w:b/>
          <w:bCs/>
        </w:rPr>
        <w:t xml:space="preserve"> and </w:t>
      </w:r>
      <w:r w:rsidR="00832DF9" w:rsidRPr="00877C76">
        <w:rPr>
          <w:b/>
        </w:rPr>
        <w:t>Public Water Supply Protection and Mitigation Plan</w:t>
      </w:r>
    </w:p>
    <w:p w:rsidR="00C5260F" w:rsidRPr="00877C76" w:rsidRDefault="00C5260F">
      <w:pPr>
        <w:widowControl/>
        <w:jc w:val="both"/>
        <w:rPr>
          <w:b/>
          <w:bCs/>
        </w:rPr>
      </w:pPr>
    </w:p>
    <w:p w:rsidR="00C5260F" w:rsidRPr="00877C76" w:rsidRDefault="008D4326">
      <w:pPr>
        <w:widowControl/>
        <w:jc w:val="both"/>
      </w:pPr>
      <w:r w:rsidRPr="00877C76">
        <w:t>This alternative would include:</w:t>
      </w:r>
    </w:p>
    <w:p w:rsidR="00C5260F" w:rsidRPr="00877C76" w:rsidRDefault="00C5260F">
      <w:pPr>
        <w:widowControl/>
        <w:jc w:val="both"/>
      </w:pPr>
    </w:p>
    <w:p w:rsidR="00087796" w:rsidRPr="00877C76" w:rsidRDefault="00087796" w:rsidP="00007DAA">
      <w:pPr>
        <w:pStyle w:val="ListParagraph"/>
        <w:widowControl/>
        <w:numPr>
          <w:ilvl w:val="0"/>
          <w:numId w:val="9"/>
        </w:numPr>
        <w:jc w:val="both"/>
      </w:pPr>
      <w:r w:rsidRPr="00877C76">
        <w:t>the continued operation of the existing 500 gpm OU2 IRM groundwater extraction and treatment system at the Great Neck School;</w:t>
      </w:r>
    </w:p>
    <w:p w:rsidR="00F75CE5" w:rsidRPr="00877C76" w:rsidRDefault="00F75CE5">
      <w:pPr>
        <w:pStyle w:val="ListParagraph"/>
        <w:widowControl/>
        <w:jc w:val="both"/>
      </w:pPr>
    </w:p>
    <w:p w:rsidR="00F75CE5" w:rsidRPr="00877C76" w:rsidRDefault="00344C0D">
      <w:pPr>
        <w:pStyle w:val="ListParagraph"/>
        <w:widowControl/>
        <w:numPr>
          <w:ilvl w:val="0"/>
          <w:numId w:val="9"/>
        </w:numPr>
        <w:jc w:val="both"/>
      </w:pPr>
      <w:r w:rsidRPr="00877C76">
        <w:t>i</w:t>
      </w:r>
      <w:r w:rsidR="00087796" w:rsidRPr="00877C76">
        <w:t>nstallation of a new 120</w:t>
      </w:r>
      <w:r w:rsidR="00A44C81">
        <w:t xml:space="preserve"> </w:t>
      </w:r>
      <w:r w:rsidR="00087796" w:rsidRPr="00877C76">
        <w:t>gpm extraction well and upgrade of the current OU1 groundwater remediation system to treat additional treatment volume;</w:t>
      </w:r>
    </w:p>
    <w:p w:rsidR="00C5260F" w:rsidRPr="00877C76" w:rsidRDefault="00C5260F">
      <w:pPr>
        <w:pStyle w:val="ListParagraph"/>
        <w:jc w:val="both"/>
      </w:pPr>
    </w:p>
    <w:p w:rsidR="008D4326" w:rsidRPr="00877C76" w:rsidRDefault="00344C0D" w:rsidP="00007DAA">
      <w:pPr>
        <w:pStyle w:val="ListParagraph"/>
        <w:widowControl/>
        <w:numPr>
          <w:ilvl w:val="0"/>
          <w:numId w:val="9"/>
        </w:numPr>
        <w:jc w:val="both"/>
      </w:pPr>
      <w:r w:rsidRPr="00877C76">
        <w:t>i</w:t>
      </w:r>
      <w:r w:rsidR="00087796" w:rsidRPr="00877C76">
        <w:t>nstallation of  another 500 gpm groundwater extraction and treatment system at the Village of Lake Success Golf Course (VLSGC) property and the diffusion of treated water on VLSGC property;</w:t>
      </w:r>
    </w:p>
    <w:p w:rsidR="00225253" w:rsidRPr="00877C76" w:rsidRDefault="00225253" w:rsidP="00225253">
      <w:pPr>
        <w:pStyle w:val="ListParagraph"/>
      </w:pPr>
    </w:p>
    <w:p w:rsidR="00225253" w:rsidRPr="00877C76" w:rsidRDefault="00225253" w:rsidP="00225253">
      <w:pPr>
        <w:pStyle w:val="ListParagraph"/>
        <w:widowControl/>
        <w:numPr>
          <w:ilvl w:val="0"/>
          <w:numId w:val="9"/>
        </w:numPr>
        <w:jc w:val="both"/>
      </w:pPr>
      <w:r w:rsidRPr="00877C76">
        <w:t>the treatment system should be designed to remove VOCs from all of the extracted groundwater to meet the State Pollutant Discharge Elimination System (SPDES) Permit discharge limitations;</w:t>
      </w:r>
      <w:r w:rsidR="00A44C81">
        <w:t xml:space="preserve"> and</w:t>
      </w:r>
    </w:p>
    <w:p w:rsidR="00225253" w:rsidRPr="00877C76" w:rsidRDefault="00225253" w:rsidP="00225253">
      <w:pPr>
        <w:pStyle w:val="ListParagraph"/>
      </w:pPr>
    </w:p>
    <w:p w:rsidR="00225253" w:rsidRPr="00877C76" w:rsidRDefault="00225253" w:rsidP="00225253">
      <w:pPr>
        <w:pStyle w:val="ListParagraph"/>
        <w:widowControl/>
        <w:numPr>
          <w:ilvl w:val="0"/>
          <w:numId w:val="9"/>
        </w:numPr>
        <w:jc w:val="both"/>
      </w:pPr>
      <w:r w:rsidRPr="00877C76">
        <w:t>the installation of air emission controls, if required, to comply with the NYSDEC air regulations</w:t>
      </w:r>
      <w:r w:rsidR="00A44C81">
        <w:t>.</w:t>
      </w:r>
    </w:p>
    <w:p w:rsidR="00AD5EEE" w:rsidRPr="00877C76" w:rsidRDefault="00AD5EEE" w:rsidP="00AD5EEE">
      <w:pPr>
        <w:widowControl/>
        <w:jc w:val="both"/>
      </w:pPr>
    </w:p>
    <w:p w:rsidR="00F75CE5" w:rsidRPr="00877C76" w:rsidRDefault="003B7F1C">
      <w:pPr>
        <w:jc w:val="both"/>
      </w:pPr>
      <w:r w:rsidRPr="00877C76">
        <w:t>This alternative would remediate 68% volume of impacted groundwater.</w:t>
      </w:r>
    </w:p>
    <w:p w:rsidR="00F75CE5" w:rsidRPr="00877C76" w:rsidRDefault="00F75CE5">
      <w:pPr>
        <w:widowControl/>
        <w:jc w:val="both"/>
      </w:pPr>
    </w:p>
    <w:p w:rsidR="00F75CE5" w:rsidRPr="00877C76" w:rsidRDefault="00CB004D">
      <w:pPr>
        <w:widowControl/>
        <w:tabs>
          <w:tab w:val="right" w:leader="dot" w:pos="10170"/>
        </w:tabs>
        <w:jc w:val="both"/>
        <w:rPr>
          <w:i/>
          <w:iCs/>
        </w:rPr>
      </w:pPr>
      <w:r w:rsidRPr="00877C76">
        <w:rPr>
          <w:i/>
          <w:iCs/>
        </w:rPr>
        <w:t>Present Worth:</w:t>
      </w:r>
      <w:r w:rsidRPr="00877C76">
        <w:rPr>
          <w:i/>
          <w:iCs/>
        </w:rPr>
        <w:tab/>
        <w:t>$</w:t>
      </w:r>
      <w:r w:rsidR="00DB0842" w:rsidRPr="00877C76">
        <w:rPr>
          <w:i/>
          <w:iCs/>
        </w:rPr>
        <w:t>55</w:t>
      </w:r>
      <w:r w:rsidRPr="00877C76">
        <w:rPr>
          <w:i/>
          <w:iCs/>
        </w:rPr>
        <w:t>,000,000</w:t>
      </w:r>
    </w:p>
    <w:p w:rsidR="00F75CE5" w:rsidRPr="00877C76" w:rsidRDefault="00CB004D">
      <w:pPr>
        <w:widowControl/>
        <w:tabs>
          <w:tab w:val="right" w:leader="dot" w:pos="10170"/>
        </w:tabs>
        <w:jc w:val="both"/>
        <w:rPr>
          <w:i/>
          <w:iCs/>
        </w:rPr>
      </w:pPr>
      <w:r w:rsidRPr="00877C76">
        <w:rPr>
          <w:i/>
          <w:iCs/>
        </w:rPr>
        <w:t>Capital Cost:</w:t>
      </w:r>
      <w:r w:rsidRPr="00877C76">
        <w:rPr>
          <w:i/>
          <w:iCs/>
        </w:rPr>
        <w:tab/>
        <w:t>$</w:t>
      </w:r>
      <w:r w:rsidR="00DB0842" w:rsidRPr="00877C76">
        <w:rPr>
          <w:i/>
          <w:iCs/>
        </w:rPr>
        <w:t>20</w:t>
      </w:r>
      <w:r w:rsidRPr="00877C76">
        <w:rPr>
          <w:i/>
          <w:iCs/>
        </w:rPr>
        <w:t>,</w:t>
      </w:r>
      <w:r w:rsidR="00DB0842" w:rsidRPr="00877C76">
        <w:rPr>
          <w:i/>
          <w:iCs/>
        </w:rPr>
        <w:t>0</w:t>
      </w:r>
      <w:r w:rsidRPr="00877C76">
        <w:rPr>
          <w:i/>
          <w:iCs/>
        </w:rPr>
        <w:t>00,000</w:t>
      </w:r>
    </w:p>
    <w:p w:rsidR="00F75CE5" w:rsidRPr="00877C76" w:rsidRDefault="00CB004D">
      <w:pPr>
        <w:widowControl/>
        <w:tabs>
          <w:tab w:val="right" w:leader="dot" w:pos="10170"/>
        </w:tabs>
        <w:jc w:val="both"/>
      </w:pPr>
      <w:r w:rsidRPr="00877C76">
        <w:rPr>
          <w:i/>
          <w:iCs/>
        </w:rPr>
        <w:t>Annual Costs:</w:t>
      </w:r>
      <w:r w:rsidRPr="00877C76">
        <w:rPr>
          <w:i/>
          <w:iCs/>
        </w:rPr>
        <w:tab/>
        <w:t>$</w:t>
      </w:r>
      <w:r w:rsidR="00DB0842" w:rsidRPr="00877C76">
        <w:rPr>
          <w:i/>
          <w:iCs/>
        </w:rPr>
        <w:t>2</w:t>
      </w:r>
      <w:r w:rsidRPr="00877C76">
        <w:rPr>
          <w:i/>
          <w:iCs/>
        </w:rPr>
        <w:t>,</w:t>
      </w:r>
      <w:r w:rsidR="00DB0842" w:rsidRPr="00877C76">
        <w:rPr>
          <w:i/>
          <w:iCs/>
        </w:rPr>
        <w:t>50</w:t>
      </w:r>
      <w:r w:rsidRPr="00877C76">
        <w:rPr>
          <w:i/>
          <w:iCs/>
        </w:rPr>
        <w:t>0,000</w:t>
      </w:r>
    </w:p>
    <w:p w:rsidR="00C5260F" w:rsidRPr="00877C76" w:rsidRDefault="00C5260F">
      <w:pPr>
        <w:widowControl/>
        <w:jc w:val="both"/>
        <w:rPr>
          <w:b/>
          <w:bCs/>
        </w:rPr>
      </w:pPr>
    </w:p>
    <w:p w:rsidR="00AD5EEE" w:rsidRPr="00877C76" w:rsidRDefault="00A36FE4" w:rsidP="00AD5EEE">
      <w:pPr>
        <w:widowControl/>
        <w:jc w:val="center"/>
        <w:rPr>
          <w:b/>
          <w:bCs/>
        </w:rPr>
      </w:pPr>
      <w:r w:rsidRPr="00877C76">
        <w:rPr>
          <w:b/>
          <w:bCs/>
        </w:rPr>
        <w:t xml:space="preserve">Alternative </w:t>
      </w:r>
      <w:r w:rsidR="00EE32C1" w:rsidRPr="00877C76">
        <w:rPr>
          <w:b/>
          <w:bCs/>
        </w:rPr>
        <w:t>4</w:t>
      </w:r>
      <w:r w:rsidRPr="00877C76">
        <w:rPr>
          <w:b/>
          <w:bCs/>
        </w:rPr>
        <w:t xml:space="preserve">: </w:t>
      </w:r>
      <w:r w:rsidR="008D4326" w:rsidRPr="00877C76">
        <w:rPr>
          <w:b/>
          <w:bCs/>
        </w:rPr>
        <w:t xml:space="preserve">Removing </w:t>
      </w:r>
      <w:r w:rsidR="00CF780D" w:rsidRPr="00877C76">
        <w:rPr>
          <w:b/>
          <w:bCs/>
        </w:rPr>
        <w:t xml:space="preserve">COCs with </w:t>
      </w:r>
      <w:r w:rsidR="00247138" w:rsidRPr="00877C76">
        <w:rPr>
          <w:b/>
          <w:bCs/>
        </w:rPr>
        <w:t>two</w:t>
      </w:r>
      <w:r w:rsidR="00CF780D" w:rsidRPr="00877C76">
        <w:rPr>
          <w:b/>
          <w:bCs/>
        </w:rPr>
        <w:t xml:space="preserve"> </w:t>
      </w:r>
      <w:r w:rsidR="004B0CD8" w:rsidRPr="00877C76">
        <w:rPr>
          <w:b/>
          <w:bCs/>
        </w:rPr>
        <w:t xml:space="preserve">additional </w:t>
      </w:r>
      <w:r w:rsidR="00247138" w:rsidRPr="00877C76">
        <w:rPr>
          <w:b/>
          <w:bCs/>
        </w:rPr>
        <w:t>T</w:t>
      </w:r>
      <w:r w:rsidR="00CF780D" w:rsidRPr="00877C76">
        <w:rPr>
          <w:b/>
          <w:bCs/>
        </w:rPr>
        <w:t xml:space="preserve">reatment </w:t>
      </w:r>
      <w:r w:rsidR="00A66CAB" w:rsidRPr="00877C76">
        <w:rPr>
          <w:b/>
          <w:bCs/>
        </w:rPr>
        <w:t>Systems and</w:t>
      </w:r>
      <w:r w:rsidR="00832DF9" w:rsidRPr="00877C76">
        <w:rPr>
          <w:b/>
          <w:bCs/>
        </w:rPr>
        <w:t xml:space="preserve"> </w:t>
      </w:r>
      <w:r w:rsidR="00832DF9" w:rsidRPr="00877C76">
        <w:rPr>
          <w:b/>
        </w:rPr>
        <w:t>Public Water Supply Protection and Mitigation Plan</w:t>
      </w:r>
    </w:p>
    <w:p w:rsidR="00C5260F" w:rsidRPr="00877C76" w:rsidRDefault="00C5260F">
      <w:pPr>
        <w:widowControl/>
        <w:jc w:val="both"/>
      </w:pPr>
    </w:p>
    <w:p w:rsidR="00C5260F" w:rsidRPr="00877C76" w:rsidRDefault="00A36FE4">
      <w:pPr>
        <w:widowControl/>
        <w:jc w:val="both"/>
      </w:pPr>
      <w:r w:rsidRPr="00877C76">
        <w:t>This alternative would include</w:t>
      </w:r>
      <w:r w:rsidR="00EE32C1" w:rsidRPr="00877C76">
        <w:t>:</w:t>
      </w:r>
    </w:p>
    <w:p w:rsidR="00C5260F" w:rsidRPr="00877C76" w:rsidRDefault="00C5260F">
      <w:pPr>
        <w:widowControl/>
        <w:jc w:val="both"/>
      </w:pPr>
    </w:p>
    <w:p w:rsidR="00C5260F" w:rsidRPr="00877C76" w:rsidRDefault="00344C0D">
      <w:pPr>
        <w:pStyle w:val="ListParagraph"/>
        <w:widowControl/>
        <w:numPr>
          <w:ilvl w:val="0"/>
          <w:numId w:val="10"/>
        </w:numPr>
        <w:jc w:val="both"/>
      </w:pPr>
      <w:r w:rsidRPr="00877C76">
        <w:t>c</w:t>
      </w:r>
      <w:r w:rsidR="00454554" w:rsidRPr="00877C76">
        <w:t>ontinued operation of the existin</w:t>
      </w:r>
      <w:r w:rsidR="00EE32C1" w:rsidRPr="00877C76">
        <w:t xml:space="preserve">g 500 gpm </w:t>
      </w:r>
      <w:r w:rsidR="00604C36" w:rsidRPr="00877C76">
        <w:t>OU2</w:t>
      </w:r>
      <w:r w:rsidR="00AE4D26" w:rsidRPr="00877C76">
        <w:t xml:space="preserve"> </w:t>
      </w:r>
      <w:r w:rsidR="00EE32C1" w:rsidRPr="00877C76">
        <w:t xml:space="preserve">IRM groundwater </w:t>
      </w:r>
      <w:r w:rsidR="00454554" w:rsidRPr="00877C76">
        <w:t>extraction and treatment system at the Great Neck School;</w:t>
      </w:r>
    </w:p>
    <w:p w:rsidR="00C5260F" w:rsidRPr="00877C76" w:rsidRDefault="00C5260F">
      <w:pPr>
        <w:pStyle w:val="ListParagraph"/>
        <w:widowControl/>
        <w:jc w:val="both"/>
      </w:pPr>
    </w:p>
    <w:p w:rsidR="00C5260F" w:rsidRPr="00877C76" w:rsidRDefault="00344C0D">
      <w:pPr>
        <w:pStyle w:val="ListParagraph"/>
        <w:widowControl/>
        <w:numPr>
          <w:ilvl w:val="0"/>
          <w:numId w:val="10"/>
        </w:numPr>
        <w:jc w:val="both"/>
      </w:pPr>
      <w:r w:rsidRPr="00877C76">
        <w:t>i</w:t>
      </w:r>
      <w:r w:rsidR="003942C4" w:rsidRPr="00877C76">
        <w:t>nstallation of a new 120</w:t>
      </w:r>
      <w:r w:rsidR="00A44C81">
        <w:t xml:space="preserve"> </w:t>
      </w:r>
      <w:r w:rsidR="003942C4" w:rsidRPr="00877C76">
        <w:t>gpm extraction well and upgrade of the current OU1 groundwater remediation system to treat additional treatment volume;</w:t>
      </w:r>
    </w:p>
    <w:p w:rsidR="00C5260F" w:rsidRPr="00877C76" w:rsidRDefault="00C5260F">
      <w:pPr>
        <w:pStyle w:val="ListParagraph"/>
        <w:jc w:val="both"/>
      </w:pPr>
    </w:p>
    <w:p w:rsidR="00C5260F" w:rsidRPr="00877C76" w:rsidRDefault="00344C0D">
      <w:pPr>
        <w:pStyle w:val="ListParagraph"/>
        <w:widowControl/>
        <w:numPr>
          <w:ilvl w:val="0"/>
          <w:numId w:val="10"/>
        </w:numPr>
        <w:jc w:val="both"/>
      </w:pPr>
      <w:r w:rsidRPr="00877C76">
        <w:t>i</w:t>
      </w:r>
      <w:r w:rsidR="00454554" w:rsidRPr="00877C76">
        <w:t>nstallation of  a</w:t>
      </w:r>
      <w:r w:rsidR="00B4311E" w:rsidRPr="00877C76">
        <w:t xml:space="preserve">nother </w:t>
      </w:r>
      <w:r w:rsidR="00454554" w:rsidRPr="00877C76">
        <w:t>500 gpm groundwater extraction and treatment system at the Village of Lake Success Golf Course (VLSG</w:t>
      </w:r>
      <w:r w:rsidR="00B4311E" w:rsidRPr="00877C76">
        <w:t>C</w:t>
      </w:r>
      <w:r w:rsidR="00454554" w:rsidRPr="00877C76">
        <w:t xml:space="preserve">) property and </w:t>
      </w:r>
      <w:r w:rsidR="00B4311E" w:rsidRPr="00877C76">
        <w:t xml:space="preserve">the </w:t>
      </w:r>
      <w:r w:rsidR="00454554" w:rsidRPr="00877C76">
        <w:t>diffusion of treated water on VLSGC property;</w:t>
      </w:r>
    </w:p>
    <w:p w:rsidR="00C5260F" w:rsidRPr="00877C76" w:rsidRDefault="00C5260F">
      <w:pPr>
        <w:pStyle w:val="ListParagraph"/>
        <w:jc w:val="both"/>
      </w:pPr>
    </w:p>
    <w:p w:rsidR="00C5260F" w:rsidRPr="00877C76" w:rsidRDefault="00344C0D">
      <w:pPr>
        <w:pStyle w:val="ListParagraph"/>
        <w:widowControl/>
        <w:numPr>
          <w:ilvl w:val="0"/>
          <w:numId w:val="10"/>
        </w:numPr>
        <w:jc w:val="both"/>
      </w:pPr>
      <w:r w:rsidRPr="00877C76">
        <w:t>i</w:t>
      </w:r>
      <w:r w:rsidR="00454554" w:rsidRPr="00877C76">
        <w:t>nstallation of  a 1</w:t>
      </w:r>
      <w:r w:rsidR="00F032FF" w:rsidRPr="00877C76">
        <w:t>,</w:t>
      </w:r>
      <w:r w:rsidR="00545620" w:rsidRPr="00877C76">
        <w:t>1</w:t>
      </w:r>
      <w:r w:rsidR="00454554" w:rsidRPr="00877C76">
        <w:t xml:space="preserve">00 gpm groundwater extraction and treatment system at the North Shore Long Island Jewish Hospital (NSLIJH) property and </w:t>
      </w:r>
      <w:r w:rsidR="00B4311E" w:rsidRPr="00877C76">
        <w:t xml:space="preserve">the </w:t>
      </w:r>
      <w:r w:rsidR="00454554" w:rsidRPr="00877C76">
        <w:t>diffusion of treated water along the southeast portion of the NSLIJH property or the Deepdale golf course property;</w:t>
      </w:r>
    </w:p>
    <w:p w:rsidR="00C5260F" w:rsidRPr="00877C76" w:rsidRDefault="00C5260F">
      <w:pPr>
        <w:pStyle w:val="ListParagraph"/>
        <w:jc w:val="both"/>
      </w:pPr>
    </w:p>
    <w:p w:rsidR="00C5260F" w:rsidRPr="00877C76" w:rsidRDefault="00344C0D">
      <w:pPr>
        <w:pStyle w:val="ListParagraph"/>
        <w:widowControl/>
        <w:numPr>
          <w:ilvl w:val="0"/>
          <w:numId w:val="10"/>
        </w:numPr>
        <w:jc w:val="both"/>
      </w:pPr>
      <w:r w:rsidRPr="00877C76">
        <w:t>t</w:t>
      </w:r>
      <w:r w:rsidR="00454554" w:rsidRPr="00877C76">
        <w:t xml:space="preserve">he </w:t>
      </w:r>
      <w:r w:rsidR="006E28BE" w:rsidRPr="00877C76">
        <w:t xml:space="preserve">treatment system should be </w:t>
      </w:r>
      <w:r w:rsidR="00454554" w:rsidRPr="00877C76">
        <w:t xml:space="preserve">designed to remove VOCs from all </w:t>
      </w:r>
      <w:r w:rsidR="00B4311E" w:rsidRPr="00877C76">
        <w:t xml:space="preserve">of </w:t>
      </w:r>
      <w:r w:rsidR="00454554" w:rsidRPr="00877C76">
        <w:t>the extracted groundwater to meet the State Pollutant</w:t>
      </w:r>
      <w:r w:rsidR="00EE32C1" w:rsidRPr="00877C76">
        <w:t xml:space="preserve"> </w:t>
      </w:r>
      <w:r w:rsidR="00454554" w:rsidRPr="00877C76">
        <w:t xml:space="preserve">Discharge Elimination System (SPDES) </w:t>
      </w:r>
      <w:r w:rsidR="00B4311E" w:rsidRPr="00877C76">
        <w:t xml:space="preserve">Permit </w:t>
      </w:r>
      <w:r w:rsidR="00454554" w:rsidRPr="00877C76">
        <w:t>discharge limitations;</w:t>
      </w:r>
      <w:r w:rsidR="00A44C81">
        <w:t xml:space="preserve"> and</w:t>
      </w:r>
    </w:p>
    <w:p w:rsidR="00C5260F" w:rsidRPr="00877C76" w:rsidRDefault="00C5260F">
      <w:pPr>
        <w:pStyle w:val="ListParagraph"/>
        <w:jc w:val="both"/>
      </w:pPr>
    </w:p>
    <w:p w:rsidR="00C5260F" w:rsidRPr="00877C76" w:rsidRDefault="00344C0D">
      <w:pPr>
        <w:pStyle w:val="ListParagraph"/>
        <w:widowControl/>
        <w:numPr>
          <w:ilvl w:val="0"/>
          <w:numId w:val="10"/>
        </w:numPr>
        <w:jc w:val="both"/>
      </w:pPr>
      <w:r w:rsidRPr="00877C76">
        <w:t>t</w:t>
      </w:r>
      <w:r w:rsidR="00454554" w:rsidRPr="00877C76">
        <w:t xml:space="preserve">he installation of air emission controls, if required, to comply </w:t>
      </w:r>
      <w:r w:rsidRPr="00877C76">
        <w:t>with the NYSDEC air regulations</w:t>
      </w:r>
      <w:r w:rsidR="00A44C81">
        <w:t>.</w:t>
      </w:r>
    </w:p>
    <w:p w:rsidR="00C5260F" w:rsidRPr="00877C76" w:rsidRDefault="00C5260F">
      <w:pPr>
        <w:pStyle w:val="ListParagraph"/>
        <w:jc w:val="both"/>
      </w:pPr>
    </w:p>
    <w:p w:rsidR="00F75CE5" w:rsidRPr="00877C76" w:rsidRDefault="003B7F1C">
      <w:pPr>
        <w:jc w:val="both"/>
        <w:rPr>
          <w:i/>
          <w:iCs/>
        </w:rPr>
      </w:pPr>
      <w:r w:rsidRPr="00877C76">
        <w:t>This alternative would remediate 76% volume of impacted groundwater.</w:t>
      </w:r>
    </w:p>
    <w:p w:rsidR="00F75CE5" w:rsidRPr="00877C76" w:rsidRDefault="00F75CE5">
      <w:pPr>
        <w:widowControl/>
        <w:tabs>
          <w:tab w:val="right" w:leader="dot" w:pos="10170"/>
        </w:tabs>
        <w:jc w:val="both"/>
        <w:rPr>
          <w:i/>
          <w:iCs/>
        </w:rPr>
      </w:pPr>
    </w:p>
    <w:p w:rsidR="00F75CE5" w:rsidRPr="00877C76" w:rsidRDefault="00A36FE4">
      <w:pPr>
        <w:widowControl/>
        <w:tabs>
          <w:tab w:val="right" w:leader="dot" w:pos="10170"/>
        </w:tabs>
        <w:jc w:val="both"/>
        <w:rPr>
          <w:i/>
          <w:iCs/>
        </w:rPr>
      </w:pPr>
      <w:r w:rsidRPr="00877C76">
        <w:rPr>
          <w:i/>
          <w:iCs/>
        </w:rPr>
        <w:t>Present Worth:</w:t>
      </w:r>
      <w:r w:rsidRPr="00877C76">
        <w:rPr>
          <w:i/>
          <w:iCs/>
        </w:rPr>
        <w:tab/>
        <w:t>$</w:t>
      </w:r>
      <w:r w:rsidR="00FA57AC" w:rsidRPr="00877C76">
        <w:rPr>
          <w:i/>
          <w:iCs/>
        </w:rPr>
        <w:t>8</w:t>
      </w:r>
      <w:r w:rsidR="009C3CE0" w:rsidRPr="00877C76">
        <w:rPr>
          <w:i/>
          <w:iCs/>
        </w:rPr>
        <w:t>0</w:t>
      </w:r>
      <w:r w:rsidR="0024025E" w:rsidRPr="00877C76">
        <w:rPr>
          <w:i/>
          <w:iCs/>
        </w:rPr>
        <w:t>,000,000</w:t>
      </w:r>
    </w:p>
    <w:p w:rsidR="00F75CE5" w:rsidRPr="00877C76" w:rsidRDefault="00A36FE4">
      <w:pPr>
        <w:widowControl/>
        <w:tabs>
          <w:tab w:val="right" w:leader="dot" w:pos="10170"/>
        </w:tabs>
        <w:jc w:val="both"/>
        <w:rPr>
          <w:i/>
          <w:iCs/>
        </w:rPr>
      </w:pPr>
      <w:r w:rsidRPr="00877C76">
        <w:rPr>
          <w:i/>
          <w:iCs/>
        </w:rPr>
        <w:t>Capital Cost:</w:t>
      </w:r>
      <w:r w:rsidRPr="00877C76">
        <w:rPr>
          <w:i/>
          <w:iCs/>
        </w:rPr>
        <w:tab/>
        <w:t>$</w:t>
      </w:r>
      <w:r w:rsidR="009C3CE0" w:rsidRPr="00877C76">
        <w:rPr>
          <w:i/>
          <w:iCs/>
        </w:rPr>
        <w:t>31</w:t>
      </w:r>
      <w:r w:rsidR="0024025E" w:rsidRPr="00877C76">
        <w:rPr>
          <w:i/>
          <w:iCs/>
        </w:rPr>
        <w:t>,000,000</w:t>
      </w:r>
    </w:p>
    <w:p w:rsidR="00F75CE5" w:rsidRPr="00877C76" w:rsidRDefault="00A36FE4">
      <w:pPr>
        <w:widowControl/>
        <w:tabs>
          <w:tab w:val="right" w:leader="dot" w:pos="10170"/>
        </w:tabs>
        <w:jc w:val="both"/>
      </w:pPr>
      <w:r w:rsidRPr="00877C76">
        <w:rPr>
          <w:i/>
          <w:iCs/>
        </w:rPr>
        <w:t>Annual Costs:</w:t>
      </w:r>
      <w:r w:rsidRPr="00877C76">
        <w:rPr>
          <w:i/>
          <w:iCs/>
        </w:rPr>
        <w:tab/>
        <w:t>$</w:t>
      </w:r>
      <w:r w:rsidR="00DA48A4" w:rsidRPr="00877C76">
        <w:rPr>
          <w:i/>
          <w:iCs/>
        </w:rPr>
        <w:t>4</w:t>
      </w:r>
      <w:r w:rsidR="0024025E" w:rsidRPr="00877C76">
        <w:rPr>
          <w:i/>
          <w:iCs/>
        </w:rPr>
        <w:t>,</w:t>
      </w:r>
      <w:r w:rsidR="00DA48A4" w:rsidRPr="00877C76">
        <w:rPr>
          <w:i/>
          <w:iCs/>
        </w:rPr>
        <w:t>00</w:t>
      </w:r>
      <w:r w:rsidR="0024025E" w:rsidRPr="00877C76">
        <w:rPr>
          <w:i/>
          <w:iCs/>
        </w:rPr>
        <w:t>0,000</w:t>
      </w:r>
    </w:p>
    <w:p w:rsidR="00F75CE5" w:rsidRPr="00877C76" w:rsidRDefault="00F75CE5">
      <w:pPr>
        <w:widowControl/>
        <w:jc w:val="both"/>
      </w:pPr>
    </w:p>
    <w:p w:rsidR="00AD5EEE" w:rsidRPr="00877C76" w:rsidRDefault="005F6937" w:rsidP="00AD5EEE">
      <w:pPr>
        <w:widowControl/>
        <w:jc w:val="center"/>
        <w:rPr>
          <w:b/>
          <w:bCs/>
        </w:rPr>
      </w:pPr>
      <w:r w:rsidRPr="00877C76">
        <w:rPr>
          <w:b/>
          <w:bCs/>
        </w:rPr>
        <w:t xml:space="preserve">Alternative 5: </w:t>
      </w:r>
      <w:r w:rsidR="00750A95" w:rsidRPr="00877C76">
        <w:rPr>
          <w:b/>
          <w:bCs/>
        </w:rPr>
        <w:t>Re</w:t>
      </w:r>
      <w:r w:rsidR="008D4326" w:rsidRPr="00877C76">
        <w:rPr>
          <w:b/>
          <w:bCs/>
        </w:rPr>
        <w:t>storation to Pre-Disposal Conditions</w:t>
      </w:r>
      <w:r w:rsidR="00832DF9" w:rsidRPr="00877C76">
        <w:rPr>
          <w:b/>
          <w:bCs/>
        </w:rPr>
        <w:t xml:space="preserve"> and </w:t>
      </w:r>
      <w:r w:rsidR="00832DF9" w:rsidRPr="00877C76">
        <w:rPr>
          <w:b/>
        </w:rPr>
        <w:t>Public Water Supply Protection and Mitigation Plan</w:t>
      </w:r>
    </w:p>
    <w:p w:rsidR="008717BD" w:rsidRPr="00877C76" w:rsidRDefault="008717BD">
      <w:pPr>
        <w:widowControl/>
        <w:jc w:val="both"/>
        <w:rPr>
          <w:b/>
          <w:bCs/>
        </w:rPr>
      </w:pPr>
    </w:p>
    <w:p w:rsidR="008D4326" w:rsidRPr="00877C76" w:rsidRDefault="008D4326" w:rsidP="00007DAA">
      <w:pPr>
        <w:widowControl/>
        <w:jc w:val="both"/>
      </w:pPr>
      <w:r w:rsidRPr="00877C76">
        <w:t>This alternative achieves all of the SCGs discussed in Section 6.1.1 and Exhibit A.</w:t>
      </w:r>
      <w:r w:rsidR="00344C0D" w:rsidRPr="00877C76">
        <w:t xml:space="preserve"> </w:t>
      </w:r>
      <w:r w:rsidRPr="00877C76">
        <w:t xml:space="preserve">This alternative will include:  </w:t>
      </w:r>
    </w:p>
    <w:p w:rsidR="00F75CE5" w:rsidRPr="00877C76" w:rsidRDefault="00F75CE5">
      <w:pPr>
        <w:widowControl/>
        <w:jc w:val="both"/>
      </w:pPr>
    </w:p>
    <w:p w:rsidR="00F75CE5" w:rsidRPr="00877C76" w:rsidRDefault="008D4326">
      <w:pPr>
        <w:pStyle w:val="ListParagraph"/>
        <w:widowControl/>
        <w:numPr>
          <w:ilvl w:val="0"/>
          <w:numId w:val="11"/>
        </w:numPr>
        <w:jc w:val="both"/>
      </w:pPr>
      <w:r w:rsidRPr="00877C76">
        <w:t>Continued operation of the existing 500 gpm OU2 IRM groundwater extraction and treatment system at the Great Neck School;</w:t>
      </w:r>
    </w:p>
    <w:p w:rsidR="00F75CE5" w:rsidRPr="00877C76" w:rsidRDefault="00F75CE5">
      <w:pPr>
        <w:pStyle w:val="ListParagraph"/>
        <w:widowControl/>
        <w:jc w:val="both"/>
      </w:pPr>
    </w:p>
    <w:p w:rsidR="00F75CE5" w:rsidRPr="00877C76" w:rsidRDefault="00344C0D">
      <w:pPr>
        <w:pStyle w:val="ListParagraph"/>
        <w:widowControl/>
        <w:numPr>
          <w:ilvl w:val="0"/>
          <w:numId w:val="11"/>
        </w:numPr>
        <w:jc w:val="both"/>
      </w:pPr>
      <w:r w:rsidRPr="00877C76">
        <w:t>i</w:t>
      </w:r>
      <w:r w:rsidR="003942C4" w:rsidRPr="00877C76">
        <w:t>nstallation of a new 120</w:t>
      </w:r>
      <w:r w:rsidR="00A44C81">
        <w:t xml:space="preserve"> </w:t>
      </w:r>
      <w:r w:rsidR="003942C4" w:rsidRPr="00877C76">
        <w:t>gpm extraction well and upgrade of the current OU1 groundwater remediation system to treat additional treatment volume;</w:t>
      </w:r>
    </w:p>
    <w:p w:rsidR="008717BD" w:rsidRPr="00877C76" w:rsidRDefault="008717BD">
      <w:pPr>
        <w:pStyle w:val="ListParagraph"/>
        <w:jc w:val="both"/>
      </w:pPr>
    </w:p>
    <w:p w:rsidR="008D4326" w:rsidRPr="00877C76" w:rsidRDefault="00344C0D" w:rsidP="00007DAA">
      <w:pPr>
        <w:pStyle w:val="ListParagraph"/>
        <w:widowControl/>
        <w:numPr>
          <w:ilvl w:val="0"/>
          <w:numId w:val="11"/>
        </w:numPr>
        <w:jc w:val="both"/>
      </w:pPr>
      <w:r w:rsidRPr="00877C76">
        <w:t>e</w:t>
      </w:r>
      <w:r w:rsidR="008D4326" w:rsidRPr="00877C76">
        <w:t xml:space="preserve">xtraction of groundwater at a rate of 1,300 gpm from northwest of  the Long Island Expressway (LIE), 1,000 gpm from the Fresh Meadow Country Club (FMCC), and 1000 gpm from North Shore Long Island Jewish Hospital (NSLIJH). The combined 3,300 gpm of extracted groundwater will be treated by two separate treatment plants </w:t>
      </w:r>
      <w:r w:rsidR="006146F4" w:rsidRPr="00877C76">
        <w:t xml:space="preserve">at VLSGC </w:t>
      </w:r>
      <w:r w:rsidR="008D4326" w:rsidRPr="00877C76">
        <w:t xml:space="preserve">and </w:t>
      </w:r>
      <w:r w:rsidR="006146F4" w:rsidRPr="00877C76">
        <w:t>NSLIJH.  T</w:t>
      </w:r>
      <w:r w:rsidR="008D4326" w:rsidRPr="00877C76">
        <w:t xml:space="preserve">he treated water will be diffused back into the aquifer by </w:t>
      </w:r>
      <w:r w:rsidR="006146F4" w:rsidRPr="00877C76">
        <w:t xml:space="preserve">the </w:t>
      </w:r>
      <w:r w:rsidR="003B7F1C" w:rsidRPr="00877C76">
        <w:t xml:space="preserve"> diffusion wells;</w:t>
      </w:r>
      <w:r w:rsidR="008D4326" w:rsidRPr="00877C76">
        <w:t xml:space="preserve"> </w:t>
      </w:r>
    </w:p>
    <w:p w:rsidR="008717BD" w:rsidRPr="00877C76" w:rsidRDefault="008717BD">
      <w:pPr>
        <w:pStyle w:val="ListParagraph"/>
        <w:jc w:val="both"/>
      </w:pPr>
    </w:p>
    <w:p w:rsidR="006E28BE" w:rsidRPr="00877C76" w:rsidRDefault="00344C0D" w:rsidP="00007DAA">
      <w:pPr>
        <w:pStyle w:val="ListParagraph"/>
        <w:widowControl/>
        <w:numPr>
          <w:ilvl w:val="0"/>
          <w:numId w:val="11"/>
        </w:numPr>
        <w:jc w:val="both"/>
      </w:pPr>
      <w:r w:rsidRPr="00877C76">
        <w:t>t</w:t>
      </w:r>
      <w:r w:rsidR="006E28BE" w:rsidRPr="00877C76">
        <w:t>he treatment system should be designed to remove VOCs from all of the extracted groundwater to meet the State Pollutant Discharge Elimination System (SPDES) P</w:t>
      </w:r>
      <w:r w:rsidRPr="00877C76">
        <w:t>ermit discharge limitations;</w:t>
      </w:r>
      <w:r w:rsidR="00A44C81">
        <w:t xml:space="preserve"> and</w:t>
      </w:r>
    </w:p>
    <w:p w:rsidR="008717BD" w:rsidRPr="00877C76" w:rsidRDefault="008717BD">
      <w:pPr>
        <w:pStyle w:val="ListParagraph"/>
        <w:jc w:val="both"/>
      </w:pPr>
    </w:p>
    <w:p w:rsidR="006E28BE" w:rsidRPr="00877C76" w:rsidRDefault="00344C0D" w:rsidP="00007DAA">
      <w:pPr>
        <w:pStyle w:val="ListParagraph"/>
        <w:widowControl/>
        <w:numPr>
          <w:ilvl w:val="0"/>
          <w:numId w:val="11"/>
        </w:numPr>
        <w:jc w:val="both"/>
      </w:pPr>
      <w:r w:rsidRPr="00877C76">
        <w:t>t</w:t>
      </w:r>
      <w:r w:rsidR="006E28BE" w:rsidRPr="00877C76">
        <w:t>he installation of air emission controls, if required, to comply with the NYSDEC air</w:t>
      </w:r>
      <w:r w:rsidRPr="00877C76">
        <w:t xml:space="preserve"> regulations</w:t>
      </w:r>
      <w:r w:rsidR="00A44C81">
        <w:t>.</w:t>
      </w:r>
    </w:p>
    <w:p w:rsidR="00F75CE5" w:rsidRPr="00877C76" w:rsidRDefault="00F75CE5">
      <w:pPr>
        <w:jc w:val="both"/>
      </w:pPr>
    </w:p>
    <w:p w:rsidR="00F75CE5" w:rsidRPr="00877C76" w:rsidRDefault="003B7F1C">
      <w:pPr>
        <w:jc w:val="both"/>
      </w:pPr>
      <w:r w:rsidRPr="00877C76">
        <w:t>This alternative would remediate 95% volume of impacted groundwater.</w:t>
      </w:r>
    </w:p>
    <w:p w:rsidR="008D4326" w:rsidRPr="00877C76" w:rsidRDefault="008D4326" w:rsidP="008D4326">
      <w:pPr>
        <w:widowControl/>
        <w:jc w:val="both"/>
      </w:pPr>
    </w:p>
    <w:p w:rsidR="008D4326" w:rsidRPr="00877C76" w:rsidRDefault="008D4326" w:rsidP="008D4326">
      <w:pPr>
        <w:widowControl/>
        <w:tabs>
          <w:tab w:val="right" w:leader="dot" w:pos="10170"/>
        </w:tabs>
        <w:jc w:val="both"/>
        <w:rPr>
          <w:i/>
          <w:iCs/>
        </w:rPr>
      </w:pPr>
      <w:r w:rsidRPr="00877C76">
        <w:rPr>
          <w:i/>
          <w:iCs/>
        </w:rPr>
        <w:t>Present Worth:</w:t>
      </w:r>
      <w:r w:rsidRPr="00877C76">
        <w:rPr>
          <w:i/>
          <w:iCs/>
        </w:rPr>
        <w:tab/>
        <w:t>$9</w:t>
      </w:r>
      <w:r w:rsidR="0059398A" w:rsidRPr="00877C76">
        <w:rPr>
          <w:i/>
          <w:iCs/>
        </w:rPr>
        <w:t>7</w:t>
      </w:r>
      <w:r w:rsidRPr="00877C76">
        <w:rPr>
          <w:i/>
          <w:iCs/>
        </w:rPr>
        <w:t>,000,000</w:t>
      </w:r>
    </w:p>
    <w:p w:rsidR="008D4326" w:rsidRPr="00877C76" w:rsidRDefault="008D4326" w:rsidP="008D4326">
      <w:pPr>
        <w:widowControl/>
        <w:tabs>
          <w:tab w:val="right" w:leader="dot" w:pos="10170"/>
        </w:tabs>
        <w:jc w:val="both"/>
        <w:rPr>
          <w:i/>
          <w:iCs/>
        </w:rPr>
      </w:pPr>
      <w:r w:rsidRPr="00877C76">
        <w:rPr>
          <w:i/>
          <w:iCs/>
        </w:rPr>
        <w:t>Capital Cost:</w:t>
      </w:r>
      <w:r w:rsidRPr="00877C76">
        <w:rPr>
          <w:i/>
          <w:iCs/>
        </w:rPr>
        <w:tab/>
        <w:t>$3</w:t>
      </w:r>
      <w:r w:rsidR="0059398A" w:rsidRPr="00877C76">
        <w:rPr>
          <w:i/>
          <w:iCs/>
        </w:rPr>
        <w:t>4</w:t>
      </w:r>
      <w:r w:rsidRPr="00877C76">
        <w:rPr>
          <w:i/>
          <w:iCs/>
        </w:rPr>
        <w:t>,000,000</w:t>
      </w:r>
    </w:p>
    <w:p w:rsidR="008D4326" w:rsidRPr="00877C76" w:rsidRDefault="008D4326" w:rsidP="008D4326">
      <w:pPr>
        <w:widowControl/>
        <w:tabs>
          <w:tab w:val="right" w:leader="dot" w:pos="10170"/>
        </w:tabs>
        <w:jc w:val="both"/>
      </w:pPr>
      <w:r w:rsidRPr="00877C76">
        <w:rPr>
          <w:i/>
          <w:iCs/>
        </w:rPr>
        <w:t>Annual Costs:</w:t>
      </w:r>
      <w:r w:rsidRPr="00877C76">
        <w:rPr>
          <w:i/>
          <w:iCs/>
        </w:rPr>
        <w:tab/>
        <w:t>$5,500,000</w:t>
      </w:r>
    </w:p>
    <w:p w:rsidR="008D4326" w:rsidRPr="00877C76" w:rsidRDefault="008D4326" w:rsidP="008D4326">
      <w:pPr>
        <w:widowControl/>
        <w:jc w:val="both"/>
      </w:pPr>
    </w:p>
    <w:p w:rsidR="008D4326" w:rsidRPr="00877C76" w:rsidRDefault="008D4326" w:rsidP="008D4326">
      <w:pPr>
        <w:widowControl/>
        <w:jc w:val="center"/>
        <w:rPr>
          <w:b/>
          <w:bCs/>
        </w:rPr>
      </w:pPr>
    </w:p>
    <w:p w:rsidR="00F032FF" w:rsidRPr="00877C76" w:rsidRDefault="00F032FF" w:rsidP="00750A95">
      <w:pPr>
        <w:widowControl/>
        <w:jc w:val="center"/>
        <w:rPr>
          <w:b/>
          <w:bCs/>
        </w:rPr>
      </w:pPr>
    </w:p>
    <w:p w:rsidR="00F032FF" w:rsidRPr="00877C76" w:rsidRDefault="00F80145" w:rsidP="008D4326">
      <w:pPr>
        <w:widowControl/>
        <w:jc w:val="both"/>
        <w:rPr>
          <w:b/>
        </w:rPr>
      </w:pPr>
      <w:r w:rsidRPr="00877C76">
        <w:tab/>
      </w:r>
    </w:p>
    <w:p w:rsidR="002375F8" w:rsidRPr="00877C76" w:rsidRDefault="002375F8">
      <w:pPr>
        <w:widowControl/>
        <w:autoSpaceDE/>
        <w:autoSpaceDN/>
        <w:adjustRightInd/>
        <w:spacing w:after="200" w:line="276" w:lineRule="auto"/>
        <w:rPr>
          <w:b/>
        </w:rPr>
      </w:pPr>
      <w:r w:rsidRPr="00877C76">
        <w:rPr>
          <w:b/>
        </w:rPr>
        <w:br w:type="page"/>
      </w:r>
    </w:p>
    <w:p w:rsidR="006C6A58" w:rsidRPr="00877C76" w:rsidRDefault="006C6A58" w:rsidP="006C6A58">
      <w:pPr>
        <w:widowControl/>
        <w:jc w:val="both"/>
        <w:rPr>
          <w:b/>
        </w:rPr>
      </w:pPr>
      <w:r w:rsidRPr="00877C76">
        <w:rPr>
          <w:b/>
        </w:rPr>
        <w:t>Exhibit C</w:t>
      </w:r>
    </w:p>
    <w:p w:rsidR="0044093A" w:rsidRPr="00877C76" w:rsidRDefault="0044093A" w:rsidP="006C6A58">
      <w:pPr>
        <w:widowControl/>
        <w:jc w:val="center"/>
        <w:rPr>
          <w:b/>
          <w:bCs/>
        </w:rPr>
      </w:pPr>
    </w:p>
    <w:p w:rsidR="00007DAA" w:rsidRPr="00877C76" w:rsidRDefault="00007DAA" w:rsidP="006C6A58">
      <w:pPr>
        <w:widowControl/>
        <w:jc w:val="center"/>
        <w:rPr>
          <w:b/>
          <w:bCs/>
        </w:rPr>
      </w:pPr>
    </w:p>
    <w:p w:rsidR="00007DAA" w:rsidRPr="00877C76" w:rsidRDefault="00007DAA" w:rsidP="006C6A58">
      <w:pPr>
        <w:widowControl/>
        <w:jc w:val="center"/>
        <w:rPr>
          <w:b/>
          <w:bCs/>
        </w:rPr>
      </w:pPr>
    </w:p>
    <w:p w:rsidR="006C6A58" w:rsidRPr="00877C76" w:rsidRDefault="006C6A58" w:rsidP="006C6A58">
      <w:pPr>
        <w:widowControl/>
        <w:jc w:val="center"/>
      </w:pPr>
      <w:r w:rsidRPr="00877C76">
        <w:rPr>
          <w:b/>
          <w:bCs/>
        </w:rPr>
        <w:t>Remedial Alternative Costs</w:t>
      </w:r>
      <w:r w:rsidRPr="00877C76">
        <w:t xml:space="preserve"> </w:t>
      </w:r>
    </w:p>
    <w:p w:rsidR="006C6A58" w:rsidRPr="00877C76" w:rsidRDefault="006C6A58" w:rsidP="006C6A58">
      <w:pPr>
        <w:widowControl/>
        <w:jc w:val="both"/>
      </w:pPr>
    </w:p>
    <w:tbl>
      <w:tblPr>
        <w:tblW w:w="0" w:type="auto"/>
        <w:tblInd w:w="112" w:type="dxa"/>
        <w:tblLayout w:type="fixed"/>
        <w:tblCellMar>
          <w:left w:w="112" w:type="dxa"/>
          <w:right w:w="112" w:type="dxa"/>
        </w:tblCellMar>
        <w:tblLook w:val="0000"/>
      </w:tblPr>
      <w:tblGrid>
        <w:gridCol w:w="3726"/>
        <w:gridCol w:w="1980"/>
        <w:gridCol w:w="1980"/>
        <w:gridCol w:w="3024"/>
      </w:tblGrid>
      <w:tr w:rsidR="006C6A58" w:rsidRPr="00877C76" w:rsidTr="00223299">
        <w:tc>
          <w:tcPr>
            <w:tcW w:w="3726" w:type="dxa"/>
            <w:tcBorders>
              <w:top w:val="single" w:sz="7" w:space="0" w:color="000000"/>
              <w:left w:val="single" w:sz="7" w:space="0" w:color="000000"/>
              <w:bottom w:val="single" w:sz="6" w:space="0" w:color="FFFFFF"/>
              <w:right w:val="single" w:sz="6" w:space="0" w:color="FFFFFF"/>
            </w:tcBorders>
          </w:tcPr>
          <w:p w:rsidR="006C6A58" w:rsidRPr="00877C76" w:rsidRDefault="006C6A58" w:rsidP="00223299">
            <w:pPr>
              <w:spacing w:line="120" w:lineRule="exact"/>
              <w:rPr>
                <w:rFonts w:eastAsiaTheme="minorEastAsia"/>
              </w:rPr>
            </w:pPr>
          </w:p>
          <w:p w:rsidR="006C6A58" w:rsidRPr="00877C76" w:rsidRDefault="006C6A58" w:rsidP="00223299">
            <w:pPr>
              <w:widowControl/>
              <w:spacing w:after="55"/>
              <w:jc w:val="center"/>
              <w:rPr>
                <w:rFonts w:eastAsiaTheme="minorEastAsia"/>
              </w:rPr>
            </w:pPr>
            <w:r w:rsidRPr="00877C76">
              <w:rPr>
                <w:rFonts w:eastAsiaTheme="minorEastAsia"/>
                <w:b/>
                <w:bCs/>
              </w:rPr>
              <w:t>Remedial  Alternative</w:t>
            </w:r>
          </w:p>
        </w:tc>
        <w:tc>
          <w:tcPr>
            <w:tcW w:w="1980" w:type="dxa"/>
            <w:tcBorders>
              <w:top w:val="single" w:sz="7" w:space="0" w:color="000000"/>
              <w:left w:val="single" w:sz="7" w:space="0" w:color="000000"/>
              <w:bottom w:val="single" w:sz="6" w:space="0" w:color="FFFFFF"/>
              <w:right w:val="single" w:sz="6" w:space="0" w:color="FFFFFF"/>
            </w:tcBorders>
          </w:tcPr>
          <w:p w:rsidR="006C6A58" w:rsidRPr="00877C76" w:rsidRDefault="006C6A58" w:rsidP="00223299">
            <w:pPr>
              <w:spacing w:line="120" w:lineRule="exact"/>
              <w:rPr>
                <w:rFonts w:eastAsiaTheme="minorEastAsia"/>
              </w:rPr>
            </w:pPr>
          </w:p>
          <w:p w:rsidR="006C6A58" w:rsidRPr="00877C76" w:rsidRDefault="006C6A58" w:rsidP="00223299">
            <w:pPr>
              <w:widowControl/>
              <w:spacing w:after="55"/>
              <w:jc w:val="center"/>
              <w:rPr>
                <w:rFonts w:eastAsiaTheme="minorEastAsia"/>
              </w:rPr>
            </w:pPr>
            <w:r w:rsidRPr="00877C76">
              <w:rPr>
                <w:rFonts w:eastAsiaTheme="minorEastAsia"/>
                <w:b/>
                <w:bCs/>
              </w:rPr>
              <w:t>Capital Cost ($)</w:t>
            </w:r>
          </w:p>
        </w:tc>
        <w:tc>
          <w:tcPr>
            <w:tcW w:w="1980" w:type="dxa"/>
            <w:tcBorders>
              <w:top w:val="single" w:sz="7" w:space="0" w:color="000000"/>
              <w:left w:val="single" w:sz="7" w:space="0" w:color="000000"/>
              <w:bottom w:val="single" w:sz="6" w:space="0" w:color="FFFFFF"/>
              <w:right w:val="single" w:sz="6" w:space="0" w:color="FFFFFF"/>
            </w:tcBorders>
          </w:tcPr>
          <w:p w:rsidR="006C6A58" w:rsidRPr="00877C76" w:rsidRDefault="006C6A58" w:rsidP="00223299">
            <w:pPr>
              <w:spacing w:line="120" w:lineRule="exact"/>
              <w:rPr>
                <w:rFonts w:eastAsiaTheme="minorEastAsia"/>
              </w:rPr>
            </w:pPr>
          </w:p>
          <w:p w:rsidR="006C6A58" w:rsidRPr="00877C76" w:rsidRDefault="006C6A58" w:rsidP="00223299">
            <w:pPr>
              <w:widowControl/>
              <w:spacing w:after="55"/>
              <w:rPr>
                <w:rFonts w:eastAsiaTheme="minorEastAsia"/>
              </w:rPr>
            </w:pPr>
            <w:r w:rsidRPr="00877C76">
              <w:rPr>
                <w:rFonts w:eastAsiaTheme="minorEastAsia"/>
                <w:b/>
                <w:bCs/>
              </w:rPr>
              <w:t>Annual Costs ($)</w:t>
            </w:r>
          </w:p>
        </w:tc>
        <w:tc>
          <w:tcPr>
            <w:tcW w:w="3024" w:type="dxa"/>
            <w:tcBorders>
              <w:top w:val="single" w:sz="7" w:space="0" w:color="000000"/>
              <w:left w:val="single" w:sz="7" w:space="0" w:color="000000"/>
              <w:bottom w:val="single" w:sz="6" w:space="0" w:color="FFFFFF"/>
              <w:right w:val="single" w:sz="7" w:space="0" w:color="000000"/>
            </w:tcBorders>
          </w:tcPr>
          <w:p w:rsidR="006C6A58" w:rsidRPr="00877C76" w:rsidRDefault="006C6A58" w:rsidP="00223299">
            <w:pPr>
              <w:spacing w:line="120" w:lineRule="exact"/>
              <w:rPr>
                <w:rFonts w:eastAsiaTheme="minorEastAsia"/>
              </w:rPr>
            </w:pPr>
          </w:p>
          <w:p w:rsidR="006C6A58" w:rsidRPr="00877C76" w:rsidRDefault="006C6A58" w:rsidP="00223299">
            <w:pPr>
              <w:widowControl/>
              <w:spacing w:after="55"/>
              <w:jc w:val="center"/>
              <w:rPr>
                <w:rFonts w:eastAsiaTheme="minorEastAsia"/>
              </w:rPr>
            </w:pPr>
            <w:r w:rsidRPr="00877C76">
              <w:rPr>
                <w:rFonts w:eastAsiaTheme="minorEastAsia"/>
                <w:b/>
                <w:bCs/>
              </w:rPr>
              <w:t>Total Present Worth ($)</w:t>
            </w:r>
          </w:p>
        </w:tc>
      </w:tr>
      <w:tr w:rsidR="006C6A58" w:rsidRPr="00877C76" w:rsidTr="002375F8">
        <w:tc>
          <w:tcPr>
            <w:tcW w:w="3726" w:type="dxa"/>
            <w:tcBorders>
              <w:top w:val="single" w:sz="7" w:space="0" w:color="000000"/>
              <w:left w:val="single" w:sz="7" w:space="0" w:color="000000"/>
              <w:bottom w:val="single" w:sz="6" w:space="0" w:color="FFFFFF"/>
              <w:right w:val="single" w:sz="6" w:space="0" w:color="FFFFFF"/>
            </w:tcBorders>
            <w:vAlign w:val="center"/>
          </w:tcPr>
          <w:p w:rsidR="006C6A58" w:rsidRPr="00877C76" w:rsidRDefault="006C6A58" w:rsidP="002375F8">
            <w:pPr>
              <w:spacing w:line="120" w:lineRule="exact"/>
              <w:rPr>
                <w:rFonts w:eastAsiaTheme="minorEastAsia"/>
              </w:rPr>
            </w:pPr>
          </w:p>
          <w:p w:rsidR="00DC78B6" w:rsidRPr="00877C76" w:rsidRDefault="006C6A58" w:rsidP="002375F8">
            <w:pPr>
              <w:widowControl/>
              <w:spacing w:after="55"/>
              <w:rPr>
                <w:rFonts w:eastAsiaTheme="minorEastAsia"/>
              </w:rPr>
            </w:pPr>
            <w:r w:rsidRPr="00877C76">
              <w:rPr>
                <w:rFonts w:eastAsiaTheme="minorEastAsia"/>
              </w:rPr>
              <w:t>No Action</w:t>
            </w:r>
          </w:p>
        </w:tc>
        <w:tc>
          <w:tcPr>
            <w:tcW w:w="1980" w:type="dxa"/>
            <w:tcBorders>
              <w:top w:val="single" w:sz="7" w:space="0" w:color="000000"/>
              <w:left w:val="single" w:sz="7" w:space="0" w:color="000000"/>
              <w:bottom w:val="single" w:sz="6" w:space="0" w:color="FFFFFF"/>
              <w:right w:val="single" w:sz="6" w:space="0" w:color="FFFFFF"/>
            </w:tcBorders>
            <w:vAlign w:val="center"/>
          </w:tcPr>
          <w:p w:rsidR="00AD5EEE" w:rsidRPr="00877C76" w:rsidRDefault="00AD5EEE" w:rsidP="00AD5EEE">
            <w:pPr>
              <w:spacing w:line="120" w:lineRule="exact"/>
              <w:jc w:val="center"/>
              <w:rPr>
                <w:rFonts w:eastAsiaTheme="minorEastAsia"/>
              </w:rPr>
            </w:pPr>
          </w:p>
          <w:p w:rsidR="006C6A58" w:rsidRPr="00877C76" w:rsidRDefault="00C67C14" w:rsidP="002375F8">
            <w:pPr>
              <w:widowControl/>
              <w:spacing w:after="55"/>
              <w:jc w:val="center"/>
              <w:rPr>
                <w:rFonts w:eastAsiaTheme="minorEastAsia"/>
              </w:rPr>
            </w:pPr>
            <w:r w:rsidRPr="00877C76">
              <w:rPr>
                <w:rFonts w:eastAsiaTheme="minorEastAsia"/>
              </w:rPr>
              <w:t>0</w:t>
            </w:r>
          </w:p>
        </w:tc>
        <w:tc>
          <w:tcPr>
            <w:tcW w:w="1980" w:type="dxa"/>
            <w:tcBorders>
              <w:top w:val="single" w:sz="7" w:space="0" w:color="000000"/>
              <w:left w:val="single" w:sz="7" w:space="0" w:color="000000"/>
              <w:bottom w:val="single" w:sz="6" w:space="0" w:color="FFFFFF"/>
              <w:right w:val="single" w:sz="6" w:space="0" w:color="FFFFFF"/>
            </w:tcBorders>
            <w:vAlign w:val="center"/>
          </w:tcPr>
          <w:p w:rsidR="00AD5EEE" w:rsidRPr="00877C76" w:rsidRDefault="00AD5EEE" w:rsidP="00AD5EEE">
            <w:pPr>
              <w:spacing w:line="120" w:lineRule="exact"/>
              <w:jc w:val="center"/>
              <w:rPr>
                <w:rFonts w:eastAsiaTheme="minorEastAsia"/>
              </w:rPr>
            </w:pPr>
          </w:p>
          <w:p w:rsidR="006C6A58" w:rsidRPr="00877C76" w:rsidRDefault="00C67C14" w:rsidP="002375F8">
            <w:pPr>
              <w:widowControl/>
              <w:spacing w:after="55"/>
              <w:jc w:val="center"/>
              <w:rPr>
                <w:rFonts w:eastAsiaTheme="minorEastAsia"/>
              </w:rPr>
            </w:pPr>
            <w:r w:rsidRPr="00877C76">
              <w:rPr>
                <w:rFonts w:eastAsiaTheme="minorEastAsia"/>
              </w:rPr>
              <w:t>0</w:t>
            </w:r>
          </w:p>
        </w:tc>
        <w:tc>
          <w:tcPr>
            <w:tcW w:w="3024" w:type="dxa"/>
            <w:tcBorders>
              <w:top w:val="single" w:sz="7" w:space="0" w:color="000000"/>
              <w:left w:val="single" w:sz="7" w:space="0" w:color="000000"/>
              <w:bottom w:val="single" w:sz="6" w:space="0" w:color="FFFFFF"/>
              <w:right w:val="single" w:sz="7" w:space="0" w:color="000000"/>
            </w:tcBorders>
            <w:vAlign w:val="center"/>
          </w:tcPr>
          <w:p w:rsidR="006C6A58" w:rsidRPr="00877C76" w:rsidRDefault="006C6A58" w:rsidP="002375F8">
            <w:pPr>
              <w:spacing w:line="120" w:lineRule="exact"/>
              <w:jc w:val="center"/>
              <w:rPr>
                <w:rFonts w:eastAsiaTheme="minorEastAsia"/>
              </w:rPr>
            </w:pPr>
          </w:p>
          <w:p w:rsidR="00455493" w:rsidRPr="00877C76" w:rsidRDefault="00C67C14">
            <w:pPr>
              <w:widowControl/>
              <w:spacing w:after="55"/>
              <w:jc w:val="center"/>
              <w:rPr>
                <w:rFonts w:eastAsiaTheme="minorEastAsia"/>
              </w:rPr>
            </w:pPr>
            <w:r w:rsidRPr="00877C76">
              <w:rPr>
                <w:rFonts w:eastAsiaTheme="minorEastAsia"/>
              </w:rPr>
              <w:t>0</w:t>
            </w:r>
          </w:p>
        </w:tc>
      </w:tr>
      <w:tr w:rsidR="006C6A58" w:rsidRPr="00877C76" w:rsidTr="002375F8">
        <w:tc>
          <w:tcPr>
            <w:tcW w:w="3726" w:type="dxa"/>
            <w:tcBorders>
              <w:top w:val="single" w:sz="7" w:space="0" w:color="000000"/>
              <w:left w:val="single" w:sz="7" w:space="0" w:color="000000"/>
              <w:bottom w:val="single" w:sz="6" w:space="0" w:color="FFFFFF"/>
              <w:right w:val="single" w:sz="6" w:space="0" w:color="FFFFFF"/>
            </w:tcBorders>
            <w:vAlign w:val="center"/>
          </w:tcPr>
          <w:p w:rsidR="006C6A58" w:rsidRPr="00877C76" w:rsidRDefault="00DC78B6" w:rsidP="002375F8">
            <w:pPr>
              <w:widowControl/>
              <w:spacing w:after="55"/>
              <w:rPr>
                <w:rFonts w:eastAsiaTheme="minorEastAsia"/>
              </w:rPr>
            </w:pPr>
            <w:r w:rsidRPr="00877C76">
              <w:rPr>
                <w:rFonts w:eastAsiaTheme="minorEastAsia"/>
              </w:rPr>
              <w:t>Alternative 2</w:t>
            </w:r>
          </w:p>
        </w:tc>
        <w:tc>
          <w:tcPr>
            <w:tcW w:w="1980" w:type="dxa"/>
            <w:tcBorders>
              <w:top w:val="single" w:sz="7" w:space="0" w:color="000000"/>
              <w:left w:val="single" w:sz="7" w:space="0" w:color="000000"/>
              <w:bottom w:val="single" w:sz="6" w:space="0" w:color="FFFFFF"/>
              <w:right w:val="single" w:sz="6" w:space="0" w:color="FFFFFF"/>
            </w:tcBorders>
            <w:vAlign w:val="center"/>
          </w:tcPr>
          <w:p w:rsidR="006C6A58" w:rsidRPr="00877C76" w:rsidRDefault="006C6A58" w:rsidP="002375F8">
            <w:pPr>
              <w:spacing w:line="120" w:lineRule="exact"/>
              <w:jc w:val="center"/>
              <w:rPr>
                <w:rFonts w:eastAsiaTheme="minorEastAsia"/>
              </w:rPr>
            </w:pPr>
          </w:p>
          <w:p w:rsidR="006C6A58" w:rsidRPr="00877C76" w:rsidRDefault="00E5411B" w:rsidP="002375F8">
            <w:pPr>
              <w:widowControl/>
              <w:spacing w:after="55"/>
              <w:jc w:val="center"/>
              <w:rPr>
                <w:rFonts w:eastAsiaTheme="minorEastAsia"/>
              </w:rPr>
            </w:pPr>
            <w:r w:rsidRPr="00877C76">
              <w:rPr>
                <w:rFonts w:eastAsiaTheme="minorEastAsia"/>
              </w:rPr>
              <w:t>8,600,000</w:t>
            </w:r>
          </w:p>
        </w:tc>
        <w:tc>
          <w:tcPr>
            <w:tcW w:w="1980" w:type="dxa"/>
            <w:tcBorders>
              <w:top w:val="single" w:sz="7" w:space="0" w:color="000000"/>
              <w:left w:val="single" w:sz="7" w:space="0" w:color="000000"/>
              <w:bottom w:val="single" w:sz="6" w:space="0" w:color="FFFFFF"/>
              <w:right w:val="single" w:sz="6" w:space="0" w:color="FFFFFF"/>
            </w:tcBorders>
            <w:vAlign w:val="center"/>
          </w:tcPr>
          <w:p w:rsidR="00455493" w:rsidRPr="00877C76" w:rsidRDefault="00455493">
            <w:pPr>
              <w:spacing w:line="120" w:lineRule="exact"/>
              <w:jc w:val="center"/>
              <w:rPr>
                <w:rFonts w:eastAsiaTheme="minorEastAsia"/>
              </w:rPr>
            </w:pPr>
          </w:p>
          <w:p w:rsidR="00455493" w:rsidRPr="00877C76" w:rsidRDefault="00E5411B">
            <w:pPr>
              <w:widowControl/>
              <w:spacing w:after="55"/>
              <w:jc w:val="center"/>
              <w:rPr>
                <w:rFonts w:eastAsiaTheme="minorEastAsia"/>
              </w:rPr>
            </w:pPr>
            <w:r w:rsidRPr="00877C76">
              <w:rPr>
                <w:rFonts w:eastAsiaTheme="minorEastAsia"/>
              </w:rPr>
              <w:t>1,400,000</w:t>
            </w:r>
          </w:p>
        </w:tc>
        <w:tc>
          <w:tcPr>
            <w:tcW w:w="3024" w:type="dxa"/>
            <w:tcBorders>
              <w:top w:val="single" w:sz="7" w:space="0" w:color="000000"/>
              <w:left w:val="single" w:sz="7" w:space="0" w:color="000000"/>
              <w:bottom w:val="single" w:sz="6" w:space="0" w:color="FFFFFF"/>
              <w:right w:val="single" w:sz="7" w:space="0" w:color="000000"/>
            </w:tcBorders>
            <w:vAlign w:val="center"/>
          </w:tcPr>
          <w:p w:rsidR="00455493" w:rsidRPr="00877C76" w:rsidRDefault="00455493">
            <w:pPr>
              <w:spacing w:line="120" w:lineRule="exact"/>
              <w:jc w:val="center"/>
              <w:rPr>
                <w:rFonts w:eastAsiaTheme="minorEastAsia"/>
              </w:rPr>
            </w:pPr>
          </w:p>
          <w:p w:rsidR="00455493" w:rsidRPr="00877C76" w:rsidRDefault="00E5411B">
            <w:pPr>
              <w:widowControl/>
              <w:spacing w:after="55"/>
              <w:jc w:val="center"/>
              <w:rPr>
                <w:rFonts w:eastAsiaTheme="minorEastAsia"/>
              </w:rPr>
            </w:pPr>
            <w:r w:rsidRPr="00877C76">
              <w:rPr>
                <w:rFonts w:eastAsiaTheme="minorEastAsia"/>
              </w:rPr>
              <w:t>32,000,000</w:t>
            </w:r>
          </w:p>
        </w:tc>
      </w:tr>
      <w:tr w:rsidR="006C6A58" w:rsidRPr="00877C76" w:rsidTr="002375F8">
        <w:tc>
          <w:tcPr>
            <w:tcW w:w="3726" w:type="dxa"/>
            <w:tcBorders>
              <w:top w:val="single" w:sz="7" w:space="0" w:color="000000"/>
              <w:left w:val="single" w:sz="7" w:space="0" w:color="000000"/>
              <w:bottom w:val="single" w:sz="6" w:space="0" w:color="FFFFFF"/>
              <w:right w:val="single" w:sz="6" w:space="0" w:color="FFFFFF"/>
            </w:tcBorders>
            <w:vAlign w:val="center"/>
          </w:tcPr>
          <w:p w:rsidR="006C6A58" w:rsidRPr="00877C76" w:rsidRDefault="006C6A58" w:rsidP="002375F8">
            <w:pPr>
              <w:spacing w:line="120" w:lineRule="exact"/>
              <w:rPr>
                <w:rFonts w:eastAsiaTheme="minorEastAsia"/>
              </w:rPr>
            </w:pPr>
          </w:p>
          <w:p w:rsidR="006C6A58" w:rsidRPr="00877C76" w:rsidRDefault="00DC78B6" w:rsidP="002375F8">
            <w:pPr>
              <w:widowControl/>
              <w:spacing w:after="55"/>
              <w:rPr>
                <w:rFonts w:eastAsiaTheme="minorEastAsia"/>
              </w:rPr>
            </w:pPr>
            <w:r w:rsidRPr="00877C76">
              <w:rPr>
                <w:rFonts w:eastAsiaTheme="minorEastAsia"/>
              </w:rPr>
              <w:t>Alternative 3</w:t>
            </w:r>
          </w:p>
        </w:tc>
        <w:tc>
          <w:tcPr>
            <w:tcW w:w="1980" w:type="dxa"/>
            <w:tcBorders>
              <w:top w:val="single" w:sz="7" w:space="0" w:color="000000"/>
              <w:left w:val="single" w:sz="7" w:space="0" w:color="000000"/>
              <w:bottom w:val="single" w:sz="6" w:space="0" w:color="FFFFFF"/>
              <w:right w:val="single" w:sz="6" w:space="0" w:color="FFFFFF"/>
            </w:tcBorders>
            <w:vAlign w:val="center"/>
          </w:tcPr>
          <w:p w:rsidR="006C6A58" w:rsidRPr="00877C76" w:rsidRDefault="006C6A58" w:rsidP="002375F8">
            <w:pPr>
              <w:spacing w:line="120" w:lineRule="exact"/>
              <w:jc w:val="center"/>
              <w:rPr>
                <w:rFonts w:eastAsiaTheme="minorEastAsia"/>
              </w:rPr>
            </w:pPr>
          </w:p>
          <w:p w:rsidR="006C6A58" w:rsidRPr="00877C76" w:rsidRDefault="008F386E" w:rsidP="002375F8">
            <w:pPr>
              <w:widowControl/>
              <w:spacing w:after="55"/>
              <w:jc w:val="center"/>
              <w:rPr>
                <w:rFonts w:eastAsiaTheme="minorEastAsia"/>
              </w:rPr>
            </w:pPr>
            <w:r w:rsidRPr="00877C76">
              <w:rPr>
                <w:rFonts w:eastAsiaTheme="minorEastAsia"/>
              </w:rPr>
              <w:t>20</w:t>
            </w:r>
            <w:r w:rsidR="00E5411B" w:rsidRPr="00877C76">
              <w:rPr>
                <w:rFonts w:eastAsiaTheme="minorEastAsia"/>
              </w:rPr>
              <w:t>,000,000</w:t>
            </w:r>
          </w:p>
        </w:tc>
        <w:tc>
          <w:tcPr>
            <w:tcW w:w="1980" w:type="dxa"/>
            <w:tcBorders>
              <w:top w:val="single" w:sz="7" w:space="0" w:color="000000"/>
              <w:left w:val="single" w:sz="7" w:space="0" w:color="000000"/>
              <w:bottom w:val="single" w:sz="6" w:space="0" w:color="FFFFFF"/>
              <w:right w:val="single" w:sz="6" w:space="0" w:color="FFFFFF"/>
            </w:tcBorders>
            <w:vAlign w:val="center"/>
          </w:tcPr>
          <w:p w:rsidR="00455493" w:rsidRPr="00877C76" w:rsidRDefault="00455493">
            <w:pPr>
              <w:spacing w:line="120" w:lineRule="exact"/>
              <w:jc w:val="center"/>
              <w:rPr>
                <w:rFonts w:eastAsiaTheme="minorEastAsia"/>
              </w:rPr>
            </w:pPr>
          </w:p>
          <w:p w:rsidR="00455493" w:rsidRPr="00877C76" w:rsidRDefault="00A77786">
            <w:pPr>
              <w:widowControl/>
              <w:spacing w:after="55"/>
              <w:jc w:val="center"/>
              <w:rPr>
                <w:rFonts w:eastAsiaTheme="minorEastAsia"/>
              </w:rPr>
            </w:pPr>
            <w:r w:rsidRPr="00877C76">
              <w:rPr>
                <w:rFonts w:eastAsiaTheme="minorEastAsia"/>
              </w:rPr>
              <w:t>2</w:t>
            </w:r>
            <w:r w:rsidR="00E5411B" w:rsidRPr="00877C76">
              <w:rPr>
                <w:rFonts w:eastAsiaTheme="minorEastAsia"/>
              </w:rPr>
              <w:t>,</w:t>
            </w:r>
            <w:r w:rsidR="00652ED3" w:rsidRPr="00877C76">
              <w:rPr>
                <w:rFonts w:eastAsiaTheme="minorEastAsia"/>
              </w:rPr>
              <w:t>50</w:t>
            </w:r>
            <w:r w:rsidR="00E5411B" w:rsidRPr="00877C76">
              <w:rPr>
                <w:rFonts w:eastAsiaTheme="minorEastAsia"/>
              </w:rPr>
              <w:t>0,000</w:t>
            </w:r>
          </w:p>
        </w:tc>
        <w:tc>
          <w:tcPr>
            <w:tcW w:w="3024" w:type="dxa"/>
            <w:tcBorders>
              <w:top w:val="single" w:sz="7" w:space="0" w:color="000000"/>
              <w:left w:val="single" w:sz="7" w:space="0" w:color="000000"/>
              <w:bottom w:val="single" w:sz="6" w:space="0" w:color="FFFFFF"/>
              <w:right w:val="single" w:sz="7" w:space="0" w:color="000000"/>
            </w:tcBorders>
            <w:vAlign w:val="center"/>
          </w:tcPr>
          <w:p w:rsidR="00455493" w:rsidRPr="00877C76" w:rsidRDefault="00455493">
            <w:pPr>
              <w:spacing w:line="120" w:lineRule="exact"/>
              <w:jc w:val="center"/>
              <w:rPr>
                <w:rFonts w:eastAsiaTheme="minorEastAsia"/>
              </w:rPr>
            </w:pPr>
          </w:p>
          <w:p w:rsidR="00455493" w:rsidRPr="00877C76" w:rsidRDefault="008F386E">
            <w:pPr>
              <w:widowControl/>
              <w:spacing w:after="55"/>
              <w:jc w:val="center"/>
              <w:rPr>
                <w:rFonts w:eastAsiaTheme="minorEastAsia"/>
              </w:rPr>
            </w:pPr>
            <w:r w:rsidRPr="00877C76">
              <w:rPr>
                <w:rFonts w:eastAsiaTheme="minorEastAsia"/>
              </w:rPr>
              <w:t>55</w:t>
            </w:r>
            <w:r w:rsidR="00E5411B" w:rsidRPr="00877C76">
              <w:rPr>
                <w:rFonts w:eastAsiaTheme="minorEastAsia"/>
              </w:rPr>
              <w:t>,000,000</w:t>
            </w:r>
          </w:p>
        </w:tc>
      </w:tr>
      <w:tr w:rsidR="006C6A58" w:rsidRPr="00877C76" w:rsidTr="002375F8">
        <w:tc>
          <w:tcPr>
            <w:tcW w:w="3726" w:type="dxa"/>
            <w:tcBorders>
              <w:top w:val="single" w:sz="7" w:space="0" w:color="000000"/>
              <w:left w:val="single" w:sz="7" w:space="0" w:color="000000"/>
              <w:bottom w:val="single" w:sz="6" w:space="0" w:color="FFFFFF"/>
              <w:right w:val="single" w:sz="6" w:space="0" w:color="FFFFFF"/>
            </w:tcBorders>
            <w:vAlign w:val="center"/>
          </w:tcPr>
          <w:p w:rsidR="006C6A58" w:rsidRPr="00877C76" w:rsidRDefault="006C6A58" w:rsidP="002375F8">
            <w:pPr>
              <w:spacing w:line="120" w:lineRule="exact"/>
              <w:rPr>
                <w:rFonts w:eastAsiaTheme="minorEastAsia"/>
              </w:rPr>
            </w:pPr>
          </w:p>
          <w:p w:rsidR="006C6A58" w:rsidRPr="00877C76" w:rsidRDefault="00DC78B6" w:rsidP="002375F8">
            <w:pPr>
              <w:widowControl/>
              <w:spacing w:after="55"/>
              <w:rPr>
                <w:rFonts w:eastAsiaTheme="minorEastAsia"/>
              </w:rPr>
            </w:pPr>
            <w:r w:rsidRPr="00877C76">
              <w:rPr>
                <w:rFonts w:eastAsiaTheme="minorEastAsia"/>
              </w:rPr>
              <w:t>Alternative  4</w:t>
            </w:r>
          </w:p>
        </w:tc>
        <w:tc>
          <w:tcPr>
            <w:tcW w:w="1980" w:type="dxa"/>
            <w:tcBorders>
              <w:top w:val="single" w:sz="7" w:space="0" w:color="000000"/>
              <w:left w:val="single" w:sz="7" w:space="0" w:color="000000"/>
              <w:bottom w:val="single" w:sz="6" w:space="0" w:color="FFFFFF"/>
              <w:right w:val="single" w:sz="6" w:space="0" w:color="FFFFFF"/>
            </w:tcBorders>
            <w:vAlign w:val="center"/>
          </w:tcPr>
          <w:p w:rsidR="006C6A58" w:rsidRPr="00877C76" w:rsidRDefault="006C6A58" w:rsidP="002375F8">
            <w:pPr>
              <w:spacing w:line="120" w:lineRule="exact"/>
              <w:jc w:val="center"/>
              <w:rPr>
                <w:rFonts w:eastAsiaTheme="minorEastAsia"/>
              </w:rPr>
            </w:pPr>
          </w:p>
          <w:p w:rsidR="006C6A58" w:rsidRPr="00877C76" w:rsidRDefault="00F03C72" w:rsidP="002375F8">
            <w:pPr>
              <w:widowControl/>
              <w:spacing w:after="55"/>
              <w:jc w:val="center"/>
              <w:rPr>
                <w:rFonts w:eastAsiaTheme="minorEastAsia"/>
              </w:rPr>
            </w:pPr>
            <w:r w:rsidRPr="00877C76">
              <w:rPr>
                <w:rFonts w:eastAsiaTheme="minorEastAsia"/>
              </w:rPr>
              <w:t>31</w:t>
            </w:r>
            <w:r w:rsidR="002E4657" w:rsidRPr="00877C76">
              <w:rPr>
                <w:rFonts w:eastAsiaTheme="minorEastAsia"/>
              </w:rPr>
              <w:t>,000,000</w:t>
            </w:r>
          </w:p>
        </w:tc>
        <w:tc>
          <w:tcPr>
            <w:tcW w:w="1980" w:type="dxa"/>
            <w:tcBorders>
              <w:top w:val="single" w:sz="7" w:space="0" w:color="000000"/>
              <w:left w:val="single" w:sz="7" w:space="0" w:color="000000"/>
              <w:bottom w:val="single" w:sz="6" w:space="0" w:color="FFFFFF"/>
              <w:right w:val="single" w:sz="6" w:space="0" w:color="FFFFFF"/>
            </w:tcBorders>
            <w:vAlign w:val="center"/>
          </w:tcPr>
          <w:p w:rsidR="00455493" w:rsidRPr="00877C76" w:rsidRDefault="00455493">
            <w:pPr>
              <w:spacing w:line="120" w:lineRule="exact"/>
              <w:jc w:val="center"/>
              <w:rPr>
                <w:rFonts w:eastAsiaTheme="minorEastAsia"/>
              </w:rPr>
            </w:pPr>
          </w:p>
          <w:p w:rsidR="00455493" w:rsidRPr="00877C76" w:rsidRDefault="00A210B8">
            <w:pPr>
              <w:widowControl/>
              <w:spacing w:after="55"/>
              <w:jc w:val="center"/>
              <w:rPr>
                <w:rFonts w:eastAsiaTheme="minorEastAsia"/>
              </w:rPr>
            </w:pPr>
            <w:r w:rsidRPr="00877C76">
              <w:rPr>
                <w:rFonts w:eastAsiaTheme="minorEastAsia"/>
              </w:rPr>
              <w:t>4</w:t>
            </w:r>
            <w:r w:rsidR="002E4657" w:rsidRPr="00877C76">
              <w:rPr>
                <w:rFonts w:eastAsiaTheme="minorEastAsia"/>
              </w:rPr>
              <w:t>,</w:t>
            </w:r>
            <w:r w:rsidRPr="00877C76">
              <w:rPr>
                <w:rFonts w:eastAsiaTheme="minorEastAsia"/>
              </w:rPr>
              <w:t>00</w:t>
            </w:r>
            <w:r w:rsidR="00F7370F" w:rsidRPr="00877C76">
              <w:rPr>
                <w:rFonts w:eastAsiaTheme="minorEastAsia"/>
              </w:rPr>
              <w:t>0</w:t>
            </w:r>
            <w:r w:rsidR="002E4657" w:rsidRPr="00877C76">
              <w:rPr>
                <w:rFonts w:eastAsiaTheme="minorEastAsia"/>
              </w:rPr>
              <w:t>,000</w:t>
            </w:r>
          </w:p>
        </w:tc>
        <w:tc>
          <w:tcPr>
            <w:tcW w:w="3024" w:type="dxa"/>
            <w:tcBorders>
              <w:top w:val="single" w:sz="7" w:space="0" w:color="000000"/>
              <w:left w:val="single" w:sz="7" w:space="0" w:color="000000"/>
              <w:bottom w:val="single" w:sz="6" w:space="0" w:color="FFFFFF"/>
              <w:right w:val="single" w:sz="7" w:space="0" w:color="000000"/>
            </w:tcBorders>
            <w:vAlign w:val="center"/>
          </w:tcPr>
          <w:p w:rsidR="00455493" w:rsidRPr="00877C76" w:rsidRDefault="00455493">
            <w:pPr>
              <w:spacing w:line="120" w:lineRule="exact"/>
              <w:jc w:val="center"/>
              <w:rPr>
                <w:rFonts w:eastAsiaTheme="minorEastAsia"/>
              </w:rPr>
            </w:pPr>
          </w:p>
          <w:p w:rsidR="00455493" w:rsidRPr="00877C76" w:rsidRDefault="00F03C72">
            <w:pPr>
              <w:widowControl/>
              <w:spacing w:after="55"/>
              <w:jc w:val="center"/>
              <w:rPr>
                <w:rFonts w:eastAsiaTheme="minorEastAsia"/>
              </w:rPr>
            </w:pPr>
            <w:r w:rsidRPr="00877C76">
              <w:rPr>
                <w:rFonts w:eastAsiaTheme="minorEastAsia"/>
              </w:rPr>
              <w:t>80</w:t>
            </w:r>
            <w:r w:rsidR="002E4657" w:rsidRPr="00877C76">
              <w:rPr>
                <w:rFonts w:eastAsiaTheme="minorEastAsia"/>
              </w:rPr>
              <w:t>,000,000</w:t>
            </w:r>
          </w:p>
        </w:tc>
      </w:tr>
      <w:tr w:rsidR="006C6A58" w:rsidRPr="00877C76" w:rsidTr="002375F8">
        <w:tc>
          <w:tcPr>
            <w:tcW w:w="3726" w:type="dxa"/>
            <w:tcBorders>
              <w:top w:val="single" w:sz="7" w:space="0" w:color="000000"/>
              <w:left w:val="single" w:sz="7" w:space="0" w:color="000000"/>
              <w:bottom w:val="single" w:sz="7" w:space="0" w:color="000000"/>
              <w:right w:val="single" w:sz="6" w:space="0" w:color="FFFFFF"/>
            </w:tcBorders>
            <w:vAlign w:val="center"/>
          </w:tcPr>
          <w:p w:rsidR="006C6A58" w:rsidRPr="00877C76" w:rsidRDefault="006C6A58" w:rsidP="002375F8">
            <w:pPr>
              <w:spacing w:line="120" w:lineRule="exact"/>
              <w:rPr>
                <w:rFonts w:eastAsiaTheme="minorEastAsia"/>
              </w:rPr>
            </w:pPr>
          </w:p>
          <w:p w:rsidR="006C6A58" w:rsidRPr="00877C76" w:rsidRDefault="00DC78B6" w:rsidP="002375F8">
            <w:pPr>
              <w:widowControl/>
              <w:spacing w:after="55"/>
              <w:rPr>
                <w:rFonts w:eastAsiaTheme="minorEastAsia"/>
              </w:rPr>
            </w:pPr>
            <w:r w:rsidRPr="00877C76">
              <w:rPr>
                <w:rFonts w:eastAsiaTheme="minorEastAsia"/>
              </w:rPr>
              <w:t>Alternative  5</w:t>
            </w:r>
          </w:p>
        </w:tc>
        <w:tc>
          <w:tcPr>
            <w:tcW w:w="1980" w:type="dxa"/>
            <w:tcBorders>
              <w:top w:val="single" w:sz="7" w:space="0" w:color="000000"/>
              <w:left w:val="single" w:sz="7" w:space="0" w:color="000000"/>
              <w:bottom w:val="single" w:sz="7" w:space="0" w:color="000000"/>
              <w:right w:val="single" w:sz="6" w:space="0" w:color="FFFFFF"/>
            </w:tcBorders>
            <w:vAlign w:val="center"/>
          </w:tcPr>
          <w:p w:rsidR="006C6A58" w:rsidRPr="00877C76" w:rsidRDefault="006C6A58" w:rsidP="002375F8">
            <w:pPr>
              <w:spacing w:line="120" w:lineRule="exact"/>
              <w:jc w:val="center"/>
              <w:rPr>
                <w:rFonts w:eastAsiaTheme="minorEastAsia"/>
              </w:rPr>
            </w:pPr>
          </w:p>
          <w:p w:rsidR="006C6A58" w:rsidRPr="00877C76" w:rsidRDefault="00921AA9" w:rsidP="002375F8">
            <w:pPr>
              <w:widowControl/>
              <w:spacing w:after="55"/>
              <w:jc w:val="center"/>
              <w:rPr>
                <w:rFonts w:eastAsiaTheme="minorEastAsia"/>
              </w:rPr>
            </w:pPr>
            <w:r w:rsidRPr="00877C76">
              <w:rPr>
                <w:rFonts w:eastAsiaTheme="minorEastAsia"/>
              </w:rPr>
              <w:t>3</w:t>
            </w:r>
            <w:r w:rsidR="00F03C72" w:rsidRPr="00877C76">
              <w:rPr>
                <w:rFonts w:eastAsiaTheme="minorEastAsia"/>
              </w:rPr>
              <w:t>4</w:t>
            </w:r>
            <w:r w:rsidR="002E4657" w:rsidRPr="00877C76">
              <w:rPr>
                <w:rFonts w:eastAsiaTheme="minorEastAsia"/>
              </w:rPr>
              <w:t>,000,000</w:t>
            </w:r>
          </w:p>
        </w:tc>
        <w:tc>
          <w:tcPr>
            <w:tcW w:w="1980" w:type="dxa"/>
            <w:tcBorders>
              <w:top w:val="single" w:sz="7" w:space="0" w:color="000000"/>
              <w:left w:val="single" w:sz="7" w:space="0" w:color="000000"/>
              <w:bottom w:val="single" w:sz="7" w:space="0" w:color="000000"/>
              <w:right w:val="single" w:sz="6" w:space="0" w:color="FFFFFF"/>
            </w:tcBorders>
            <w:vAlign w:val="center"/>
          </w:tcPr>
          <w:p w:rsidR="00455493" w:rsidRPr="00877C76" w:rsidRDefault="00455493">
            <w:pPr>
              <w:spacing w:line="120" w:lineRule="exact"/>
              <w:jc w:val="center"/>
              <w:rPr>
                <w:rFonts w:eastAsiaTheme="minorEastAsia"/>
              </w:rPr>
            </w:pPr>
          </w:p>
          <w:p w:rsidR="00455493" w:rsidRPr="00877C76" w:rsidRDefault="00921AA9">
            <w:pPr>
              <w:widowControl/>
              <w:spacing w:after="55"/>
              <w:jc w:val="center"/>
              <w:rPr>
                <w:rFonts w:eastAsiaTheme="minorEastAsia"/>
              </w:rPr>
            </w:pPr>
            <w:r w:rsidRPr="00877C76">
              <w:rPr>
                <w:rFonts w:eastAsiaTheme="minorEastAsia"/>
              </w:rPr>
              <w:t>5</w:t>
            </w:r>
            <w:r w:rsidR="002E4657" w:rsidRPr="00877C76">
              <w:rPr>
                <w:rFonts w:eastAsiaTheme="minorEastAsia"/>
              </w:rPr>
              <w:t>,</w:t>
            </w:r>
            <w:r w:rsidR="00A210B8" w:rsidRPr="00877C76">
              <w:rPr>
                <w:rFonts w:eastAsiaTheme="minorEastAsia"/>
              </w:rPr>
              <w:t>500</w:t>
            </w:r>
            <w:r w:rsidR="002E4657" w:rsidRPr="00877C76">
              <w:rPr>
                <w:rFonts w:eastAsiaTheme="minorEastAsia"/>
              </w:rPr>
              <w:t>,000</w:t>
            </w:r>
          </w:p>
        </w:tc>
        <w:tc>
          <w:tcPr>
            <w:tcW w:w="3024" w:type="dxa"/>
            <w:tcBorders>
              <w:top w:val="single" w:sz="7" w:space="0" w:color="000000"/>
              <w:left w:val="single" w:sz="7" w:space="0" w:color="000000"/>
              <w:bottom w:val="single" w:sz="7" w:space="0" w:color="000000"/>
              <w:right w:val="single" w:sz="7" w:space="0" w:color="000000"/>
            </w:tcBorders>
            <w:vAlign w:val="center"/>
          </w:tcPr>
          <w:p w:rsidR="00455493" w:rsidRPr="00877C76" w:rsidRDefault="00455493">
            <w:pPr>
              <w:spacing w:line="120" w:lineRule="exact"/>
              <w:jc w:val="center"/>
              <w:rPr>
                <w:rFonts w:eastAsiaTheme="minorEastAsia"/>
              </w:rPr>
            </w:pPr>
          </w:p>
          <w:p w:rsidR="00455493" w:rsidRPr="00877C76" w:rsidRDefault="00921AA9">
            <w:pPr>
              <w:widowControl/>
              <w:spacing w:after="55"/>
              <w:jc w:val="center"/>
              <w:rPr>
                <w:rFonts w:eastAsiaTheme="minorEastAsia"/>
              </w:rPr>
            </w:pPr>
            <w:r w:rsidRPr="00877C76">
              <w:rPr>
                <w:rFonts w:eastAsiaTheme="minorEastAsia"/>
              </w:rPr>
              <w:t>9</w:t>
            </w:r>
            <w:r w:rsidR="00F03C72" w:rsidRPr="00877C76">
              <w:rPr>
                <w:rFonts w:eastAsiaTheme="minorEastAsia"/>
              </w:rPr>
              <w:t>7</w:t>
            </w:r>
            <w:r w:rsidR="002E4657" w:rsidRPr="00877C76">
              <w:rPr>
                <w:rFonts w:eastAsiaTheme="minorEastAsia"/>
              </w:rPr>
              <w:t>,000,000</w:t>
            </w:r>
          </w:p>
        </w:tc>
      </w:tr>
      <w:tr w:rsidR="00BF72B3" w:rsidRPr="00877C76" w:rsidTr="00C2231E">
        <w:tc>
          <w:tcPr>
            <w:tcW w:w="3726" w:type="dxa"/>
            <w:tcBorders>
              <w:top w:val="single" w:sz="7" w:space="0" w:color="000000"/>
              <w:left w:val="single" w:sz="7" w:space="0" w:color="000000"/>
              <w:bottom w:val="single" w:sz="6" w:space="0" w:color="FFFFFF"/>
              <w:right w:val="single" w:sz="6" w:space="0" w:color="FFFFFF"/>
            </w:tcBorders>
          </w:tcPr>
          <w:p w:rsidR="00BF72B3" w:rsidRPr="00877C76" w:rsidRDefault="00BF72B3" w:rsidP="00223299">
            <w:pPr>
              <w:spacing w:line="120" w:lineRule="exact"/>
              <w:rPr>
                <w:rFonts w:eastAsiaTheme="minorEastAsia"/>
              </w:rPr>
            </w:pPr>
          </w:p>
        </w:tc>
        <w:tc>
          <w:tcPr>
            <w:tcW w:w="1980" w:type="dxa"/>
            <w:tcBorders>
              <w:top w:val="single" w:sz="7" w:space="0" w:color="000000"/>
              <w:left w:val="single" w:sz="7" w:space="0" w:color="000000"/>
              <w:bottom w:val="single" w:sz="6" w:space="0" w:color="FFFFFF"/>
              <w:right w:val="single" w:sz="6" w:space="0" w:color="FFFFFF"/>
            </w:tcBorders>
          </w:tcPr>
          <w:p w:rsidR="00BF72B3" w:rsidRPr="00877C76" w:rsidRDefault="00BF72B3" w:rsidP="002E4657">
            <w:pPr>
              <w:spacing w:line="120" w:lineRule="exact"/>
              <w:rPr>
                <w:rFonts w:eastAsiaTheme="minorEastAsia"/>
              </w:rPr>
            </w:pPr>
          </w:p>
        </w:tc>
        <w:tc>
          <w:tcPr>
            <w:tcW w:w="1980" w:type="dxa"/>
            <w:tcBorders>
              <w:top w:val="single" w:sz="7" w:space="0" w:color="000000"/>
              <w:left w:val="single" w:sz="7" w:space="0" w:color="000000"/>
              <w:bottom w:val="single" w:sz="6" w:space="0" w:color="FFFFFF"/>
              <w:right w:val="single" w:sz="6" w:space="0" w:color="FFFFFF"/>
            </w:tcBorders>
          </w:tcPr>
          <w:p w:rsidR="00BF72B3" w:rsidRPr="00877C76" w:rsidRDefault="00BF72B3" w:rsidP="002E4657">
            <w:pPr>
              <w:spacing w:line="120" w:lineRule="exact"/>
              <w:rPr>
                <w:rFonts w:eastAsiaTheme="minorEastAsia"/>
              </w:rPr>
            </w:pPr>
          </w:p>
        </w:tc>
        <w:tc>
          <w:tcPr>
            <w:tcW w:w="3024" w:type="dxa"/>
            <w:tcBorders>
              <w:top w:val="single" w:sz="7" w:space="0" w:color="000000"/>
              <w:left w:val="single" w:sz="7" w:space="0" w:color="000000"/>
              <w:bottom w:val="single" w:sz="6" w:space="0" w:color="FFFFFF"/>
              <w:right w:val="single" w:sz="7" w:space="0" w:color="000000"/>
            </w:tcBorders>
          </w:tcPr>
          <w:p w:rsidR="00BF72B3" w:rsidRPr="00877C76" w:rsidRDefault="00BF72B3" w:rsidP="00C2231E">
            <w:pPr>
              <w:spacing w:line="120" w:lineRule="exact"/>
              <w:rPr>
                <w:rFonts w:eastAsiaTheme="minorEastAsia"/>
              </w:rPr>
            </w:pPr>
          </w:p>
        </w:tc>
      </w:tr>
    </w:tbl>
    <w:p w:rsidR="00BF72B3" w:rsidRPr="00877C76" w:rsidRDefault="00BF72B3" w:rsidP="006C6A58">
      <w:pPr>
        <w:widowControl/>
      </w:pPr>
    </w:p>
    <w:p w:rsidR="007F1584" w:rsidRPr="00877C76" w:rsidRDefault="0044093A" w:rsidP="006C6A58">
      <w:pPr>
        <w:widowControl/>
      </w:pPr>
      <w:r w:rsidRPr="00877C76">
        <w:t xml:space="preserve">Remedial Alternative costs are </w:t>
      </w:r>
      <w:r w:rsidR="0035368F" w:rsidRPr="00877C76">
        <w:t xml:space="preserve">adapted from the </w:t>
      </w:r>
      <w:r w:rsidRPr="00877C76">
        <w:t>2012 FS Report</w:t>
      </w:r>
      <w:r w:rsidR="00A44C81">
        <w:t>.</w:t>
      </w:r>
    </w:p>
    <w:p w:rsidR="00E435CE" w:rsidRPr="00877C76" w:rsidRDefault="00E435CE" w:rsidP="006C6A58">
      <w:pPr>
        <w:widowControl/>
        <w:rPr>
          <w:b/>
        </w:rPr>
      </w:pPr>
    </w:p>
    <w:p w:rsidR="00247138" w:rsidRPr="00877C76" w:rsidRDefault="00247138">
      <w:pPr>
        <w:widowControl/>
        <w:autoSpaceDE/>
        <w:autoSpaceDN/>
        <w:adjustRightInd/>
        <w:spacing w:after="200" w:line="276" w:lineRule="auto"/>
        <w:rPr>
          <w:b/>
        </w:rPr>
      </w:pPr>
      <w:r w:rsidRPr="00877C76">
        <w:rPr>
          <w:b/>
        </w:rPr>
        <w:br w:type="page"/>
      </w:r>
    </w:p>
    <w:p w:rsidR="006C6A58" w:rsidRPr="00877C76" w:rsidRDefault="006C6A58" w:rsidP="006C6A58">
      <w:pPr>
        <w:widowControl/>
        <w:rPr>
          <w:b/>
        </w:rPr>
      </w:pPr>
      <w:r w:rsidRPr="00877C76">
        <w:rPr>
          <w:b/>
        </w:rPr>
        <w:t>Exhibit D</w:t>
      </w:r>
    </w:p>
    <w:p w:rsidR="006C6A58" w:rsidRPr="00877C76" w:rsidRDefault="006C6A58" w:rsidP="006C6A58">
      <w:pPr>
        <w:widowControl/>
      </w:pPr>
    </w:p>
    <w:p w:rsidR="006C6A58" w:rsidRPr="00877C76" w:rsidRDefault="006C6A58" w:rsidP="006C6A58">
      <w:pPr>
        <w:widowControl/>
      </w:pPr>
      <w:r w:rsidRPr="00877C76">
        <w:rPr>
          <w:b/>
          <w:bCs/>
          <w:u w:val="single"/>
        </w:rPr>
        <w:t>SUMMARY OF THE PROPOSED REMEDY</w:t>
      </w:r>
    </w:p>
    <w:p w:rsidR="00FA474C" w:rsidRPr="00877C76" w:rsidRDefault="00FA474C" w:rsidP="00247138">
      <w:pPr>
        <w:pStyle w:val="ListParagraph"/>
        <w:widowControl/>
        <w:ind w:left="788"/>
        <w:jc w:val="both"/>
      </w:pPr>
    </w:p>
    <w:p w:rsidR="006C6A58" w:rsidRPr="00877C76" w:rsidRDefault="006C6A58" w:rsidP="00247138">
      <w:pPr>
        <w:pStyle w:val="ListParagraph"/>
        <w:widowControl/>
        <w:ind w:left="0"/>
        <w:jc w:val="both"/>
        <w:rPr>
          <w:rFonts w:ascii="TimesNewRoman" w:eastAsiaTheme="minorHAnsi" w:hAnsi="TimesNewRoman" w:cs="TimesNewRoman"/>
        </w:rPr>
      </w:pPr>
      <w:r w:rsidRPr="00877C76">
        <w:t xml:space="preserve">The Department is proposing Alternative </w:t>
      </w:r>
      <w:r w:rsidR="00B165B3" w:rsidRPr="00877C76">
        <w:t>2</w:t>
      </w:r>
      <w:r w:rsidRPr="00877C76">
        <w:t xml:space="preserve">, </w:t>
      </w:r>
      <w:r w:rsidR="00A9068D" w:rsidRPr="00877C76">
        <w:t>which removes</w:t>
      </w:r>
      <w:r w:rsidR="00271B8B" w:rsidRPr="00877C76">
        <w:t xml:space="preserve"> COCs and </w:t>
      </w:r>
      <w:r w:rsidR="0094634A" w:rsidRPr="00877C76">
        <w:t>reduces</w:t>
      </w:r>
      <w:r w:rsidR="00271B8B" w:rsidRPr="00877C76">
        <w:t xml:space="preserve"> impacts to public supply wells by treatment of off-site groundwater at three separate locations </w:t>
      </w:r>
      <w:r w:rsidRPr="00877C76">
        <w:t xml:space="preserve">as the remedy for this site. Alternative </w:t>
      </w:r>
      <w:r w:rsidR="00B165B3" w:rsidRPr="00877C76">
        <w:t>2</w:t>
      </w:r>
      <w:r w:rsidRPr="00877C76">
        <w:t xml:space="preserve"> </w:t>
      </w:r>
      <w:r w:rsidR="00F31E5F" w:rsidRPr="00877C76">
        <w:rPr>
          <w:rFonts w:ascii="TimesNewRoman" w:eastAsiaTheme="minorHAnsi" w:hAnsi="TimesNewRoman" w:cs="TimesNewRoman"/>
        </w:rPr>
        <w:t xml:space="preserve">with </w:t>
      </w:r>
      <w:r w:rsidR="00A9068D" w:rsidRPr="00877C76">
        <w:rPr>
          <w:rFonts w:ascii="TimesNewRoman" w:eastAsiaTheme="minorHAnsi" w:hAnsi="TimesNewRoman" w:cs="TimesNewRoman"/>
        </w:rPr>
        <w:t xml:space="preserve">a </w:t>
      </w:r>
      <w:r w:rsidR="00F31E5F" w:rsidRPr="00877C76">
        <w:rPr>
          <w:rFonts w:ascii="TimesNewRoman" w:eastAsiaTheme="minorHAnsi" w:hAnsi="TimesNewRoman" w:cs="TimesNewRoman"/>
        </w:rPr>
        <w:t xml:space="preserve">provision </w:t>
      </w:r>
      <w:r w:rsidR="00A9068D" w:rsidRPr="00877C76">
        <w:rPr>
          <w:rFonts w:ascii="TimesNewRoman" w:eastAsiaTheme="minorHAnsi" w:hAnsi="TimesNewRoman" w:cs="TimesNewRoman"/>
        </w:rPr>
        <w:t>for</w:t>
      </w:r>
      <w:r w:rsidR="00F31E5F" w:rsidRPr="00877C76">
        <w:rPr>
          <w:rFonts w:ascii="TimesNewRoman" w:eastAsiaTheme="minorHAnsi" w:hAnsi="TimesNewRoman" w:cs="TimesNewRoman"/>
        </w:rPr>
        <w:t xml:space="preserve"> the public water supply protection program </w:t>
      </w:r>
      <w:r w:rsidRPr="00877C76">
        <w:t xml:space="preserve">would achieve the remediation goals for the site by </w:t>
      </w:r>
      <w:r w:rsidR="00F31E5F" w:rsidRPr="00877C76">
        <w:rPr>
          <w:rFonts w:ascii="TimesNewRoman" w:eastAsiaTheme="minorHAnsi" w:hAnsi="TimesNewRoman" w:cs="TimesNewRoman"/>
        </w:rPr>
        <w:t xml:space="preserve">preventing exposure to public health and the environment to site-related contamination, minimize potential impacts to the public water supply wells, reduce impacts to North Hills Special Groundwater Protection Area and treat elevated concentration of groundwater contamination off-site. </w:t>
      </w:r>
      <w:r w:rsidRPr="00877C76">
        <w:t xml:space="preserve">The elements of this remedy are described </w:t>
      </w:r>
      <w:r w:rsidR="0060588A" w:rsidRPr="00877C76">
        <w:t>in Section 7.</w:t>
      </w:r>
      <w:r w:rsidRPr="00877C76">
        <w:t xml:space="preserve"> The proposed remedy is depicted in Figure </w:t>
      </w:r>
      <w:r w:rsidR="003E6E6A" w:rsidRPr="00877C76">
        <w:t>4</w:t>
      </w:r>
      <w:r w:rsidRPr="00877C76">
        <w:t>.</w:t>
      </w:r>
    </w:p>
    <w:p w:rsidR="006C6A58" w:rsidRPr="00877C76" w:rsidRDefault="006C6A58" w:rsidP="00247138">
      <w:pPr>
        <w:widowControl/>
        <w:jc w:val="both"/>
      </w:pPr>
    </w:p>
    <w:p w:rsidR="006C6A58" w:rsidRPr="00877C76" w:rsidRDefault="006C6A58" w:rsidP="00247138">
      <w:pPr>
        <w:widowControl/>
        <w:tabs>
          <w:tab w:val="left" w:pos="-1440"/>
        </w:tabs>
        <w:ind w:left="720" w:hanging="720"/>
        <w:jc w:val="both"/>
        <w:rPr>
          <w:b/>
          <w:bCs/>
          <w:u w:val="single"/>
        </w:rPr>
      </w:pPr>
      <w:r w:rsidRPr="00877C76">
        <w:rPr>
          <w:b/>
          <w:bCs/>
          <w:u w:val="single"/>
        </w:rPr>
        <w:t>Basis for Selection</w:t>
      </w:r>
    </w:p>
    <w:p w:rsidR="006C6A58" w:rsidRPr="00877C76" w:rsidRDefault="006C6A58" w:rsidP="00247138">
      <w:pPr>
        <w:widowControl/>
        <w:tabs>
          <w:tab w:val="left" w:pos="-1440"/>
        </w:tabs>
        <w:ind w:left="720" w:hanging="720"/>
        <w:jc w:val="both"/>
      </w:pPr>
    </w:p>
    <w:p w:rsidR="006C6A58" w:rsidRPr="00877C76" w:rsidRDefault="006C6A58" w:rsidP="00247138">
      <w:pPr>
        <w:jc w:val="both"/>
      </w:pPr>
      <w:r w:rsidRPr="00877C76">
        <w:t>The proposed remedy is based on the results of the RI and the evaluation of alternatives. The criteria to which potential remedial alternatives are compared are defined in 6 NYCRR Part 375. A detailed discussion of the evaluation criteria and comparative analysis is included in the FS</w:t>
      </w:r>
      <w:r w:rsidR="00076DD9" w:rsidRPr="00877C76">
        <w:t xml:space="preserve"> </w:t>
      </w:r>
      <w:r w:rsidRPr="00877C76">
        <w:t>report.</w:t>
      </w:r>
    </w:p>
    <w:p w:rsidR="006C6A58" w:rsidRPr="00877C76" w:rsidRDefault="006C6A58" w:rsidP="00247138">
      <w:pPr>
        <w:jc w:val="both"/>
      </w:pPr>
    </w:p>
    <w:p w:rsidR="006C6A58" w:rsidRPr="00877C76" w:rsidRDefault="006C6A58" w:rsidP="00247138">
      <w:pPr>
        <w:jc w:val="both"/>
      </w:pPr>
      <w:r w:rsidRPr="00877C76">
        <w:t>The first two evaluation criteria are termed "threshold criteria" and must be satisfied in order for an alternative to be considered for selection.</w:t>
      </w:r>
    </w:p>
    <w:p w:rsidR="006C6A58" w:rsidRPr="00877C76" w:rsidRDefault="006C6A58" w:rsidP="00247138">
      <w:pPr>
        <w:jc w:val="both"/>
      </w:pPr>
    </w:p>
    <w:p w:rsidR="006C6A58" w:rsidRPr="00877C76" w:rsidRDefault="006C6A58" w:rsidP="00247138">
      <w:pPr>
        <w:jc w:val="both"/>
      </w:pPr>
      <w:r w:rsidRPr="00877C76">
        <w:t xml:space="preserve">1.  </w:t>
      </w:r>
      <w:r w:rsidRPr="00877C76">
        <w:rPr>
          <w:u w:val="single"/>
        </w:rPr>
        <w:t>Protection of Human Health and the Environment.</w:t>
      </w:r>
      <w:r w:rsidRPr="00877C76">
        <w:t xml:space="preserve">  This criterion is an overall evaluation of each alternative's ability to protect public health and the environment.</w:t>
      </w:r>
      <w:r w:rsidR="00285523" w:rsidRPr="00877C76">
        <w:t xml:space="preserve"> </w:t>
      </w:r>
    </w:p>
    <w:p w:rsidR="00285523" w:rsidRPr="00877C76" w:rsidRDefault="00285523" w:rsidP="00247138">
      <w:pPr>
        <w:jc w:val="both"/>
      </w:pPr>
    </w:p>
    <w:p w:rsidR="000F66D3" w:rsidRPr="00877C76" w:rsidRDefault="006C6A58" w:rsidP="00247138">
      <w:pPr>
        <w:widowControl/>
        <w:jc w:val="both"/>
      </w:pPr>
      <w:r w:rsidRPr="00877C76">
        <w:t>The proposed remed</w:t>
      </w:r>
      <w:r w:rsidR="00A312D1" w:rsidRPr="00877C76">
        <w:t>y,</w:t>
      </w:r>
      <w:r w:rsidR="002375F8" w:rsidRPr="00877C76">
        <w:t xml:space="preserve"> </w:t>
      </w:r>
      <w:r w:rsidRPr="00877C76">
        <w:t xml:space="preserve">Alternative </w:t>
      </w:r>
      <w:r w:rsidR="00BE332A" w:rsidRPr="00877C76">
        <w:t>2</w:t>
      </w:r>
      <w:r w:rsidR="00A312D1" w:rsidRPr="00877C76">
        <w:t>,</w:t>
      </w:r>
      <w:r w:rsidR="00D74FB3" w:rsidRPr="00877C76">
        <w:t xml:space="preserve"> </w:t>
      </w:r>
      <w:r w:rsidRPr="00877C76">
        <w:t xml:space="preserve">would satisfy this criterion by </w:t>
      </w:r>
      <w:r w:rsidR="0023529A" w:rsidRPr="00877C76">
        <w:t>continuing</w:t>
      </w:r>
      <w:r w:rsidR="000F66D3" w:rsidRPr="00877C76">
        <w:t xml:space="preserve"> </w:t>
      </w:r>
      <w:r w:rsidR="00C83D7F" w:rsidRPr="00877C76">
        <w:t>treatme</w:t>
      </w:r>
      <w:r w:rsidR="008A0048" w:rsidRPr="00877C76">
        <w:t xml:space="preserve">nt of groundwater contamination </w:t>
      </w:r>
      <w:r w:rsidR="000B03AE" w:rsidRPr="00877C76">
        <w:t xml:space="preserve">at </w:t>
      </w:r>
      <w:r w:rsidR="00A312D1" w:rsidRPr="00877C76">
        <w:t xml:space="preserve">the </w:t>
      </w:r>
      <w:r w:rsidR="000F66D3" w:rsidRPr="00877C76">
        <w:t>existing OU1 and OU2</w:t>
      </w:r>
      <w:r w:rsidR="00A312D1" w:rsidRPr="00877C76">
        <w:t xml:space="preserve"> (IRM)</w:t>
      </w:r>
      <w:r w:rsidR="000F66D3" w:rsidRPr="00877C76">
        <w:t xml:space="preserve"> groundwater treatment systems, upgrade t</w:t>
      </w:r>
      <w:r w:rsidR="0023529A" w:rsidRPr="00877C76">
        <w:t>he</w:t>
      </w:r>
      <w:r w:rsidR="000F66D3" w:rsidRPr="00877C76">
        <w:t xml:space="preserve"> OU1 groundwater treatment system and </w:t>
      </w:r>
      <w:r w:rsidR="00A312D1" w:rsidRPr="00877C76">
        <w:t xml:space="preserve">implement a </w:t>
      </w:r>
      <w:r w:rsidR="000F66D3" w:rsidRPr="00877C76">
        <w:t xml:space="preserve">wellhead treatment </w:t>
      </w:r>
      <w:r w:rsidR="00A312D1" w:rsidRPr="00877C76">
        <w:t xml:space="preserve">plan for all </w:t>
      </w:r>
      <w:r w:rsidR="000F66D3" w:rsidRPr="00877C76">
        <w:t>public supply wells</w:t>
      </w:r>
      <w:r w:rsidR="00A312D1" w:rsidRPr="00877C76">
        <w:t xml:space="preserve"> currently impacted, or threatened, by the </w:t>
      </w:r>
      <w:r w:rsidR="004142FF" w:rsidRPr="00877C76">
        <w:t xml:space="preserve">Unisys site </w:t>
      </w:r>
      <w:r w:rsidR="00A312D1" w:rsidRPr="00877C76">
        <w:t>plume</w:t>
      </w:r>
      <w:r w:rsidR="000F66D3" w:rsidRPr="00877C76">
        <w:t>.</w:t>
      </w:r>
      <w:r w:rsidR="008A0048" w:rsidRPr="00877C76">
        <w:t xml:space="preserve"> </w:t>
      </w:r>
      <w:r w:rsidR="004142FF" w:rsidRPr="00877C76">
        <w:t>The a</w:t>
      </w:r>
      <w:r w:rsidR="000966AC" w:rsidRPr="00877C76">
        <w:t xml:space="preserve">rea </w:t>
      </w:r>
      <w:r w:rsidR="0023529A" w:rsidRPr="00877C76">
        <w:t xml:space="preserve">is </w:t>
      </w:r>
      <w:r w:rsidR="000966AC" w:rsidRPr="00877C76">
        <w:t xml:space="preserve">currently served by </w:t>
      </w:r>
      <w:r w:rsidR="004142FF" w:rsidRPr="00877C76">
        <w:t xml:space="preserve">one </w:t>
      </w:r>
      <w:r w:rsidR="000966AC" w:rsidRPr="00877C76">
        <w:t xml:space="preserve">public water supply with </w:t>
      </w:r>
      <w:r w:rsidR="004142FF" w:rsidRPr="00877C76">
        <w:t xml:space="preserve">existing </w:t>
      </w:r>
      <w:r w:rsidR="000966AC" w:rsidRPr="00877C76">
        <w:t xml:space="preserve">wellhead treatment. </w:t>
      </w:r>
    </w:p>
    <w:p w:rsidR="007B7256" w:rsidRPr="00877C76" w:rsidRDefault="007B7256" w:rsidP="00247138">
      <w:pPr>
        <w:jc w:val="both"/>
        <w:rPr>
          <w:iCs/>
        </w:rPr>
      </w:pPr>
    </w:p>
    <w:p w:rsidR="001E04C4" w:rsidRPr="00877C76" w:rsidRDefault="007B7256" w:rsidP="00247138">
      <w:pPr>
        <w:widowControl/>
        <w:jc w:val="both"/>
        <w:rPr>
          <w:i/>
          <w:iCs/>
        </w:rPr>
      </w:pPr>
      <w:r w:rsidRPr="00877C76">
        <w:rPr>
          <w:rFonts w:ascii="TimesNewRoman" w:eastAsiaTheme="minorHAnsi" w:hAnsi="TimesNewRoman" w:cs="TimesNewRoman"/>
        </w:rPr>
        <w:t>Alternative 1</w:t>
      </w:r>
      <w:r w:rsidR="00007DAA" w:rsidRPr="00877C76">
        <w:rPr>
          <w:rFonts w:ascii="TimesNewRoman" w:eastAsiaTheme="minorHAnsi" w:hAnsi="TimesNewRoman" w:cs="TimesNewRoman"/>
        </w:rPr>
        <w:t xml:space="preserve"> </w:t>
      </w:r>
      <w:r w:rsidRPr="00877C76">
        <w:rPr>
          <w:rFonts w:ascii="TimesNewRoman" w:eastAsiaTheme="minorHAnsi" w:hAnsi="TimesNewRoman" w:cs="TimesNewRoman"/>
        </w:rPr>
        <w:t>(</w:t>
      </w:r>
      <w:r w:rsidRPr="00877C76">
        <w:rPr>
          <w:rFonts w:eastAsiaTheme="minorHAnsi"/>
        </w:rPr>
        <w:t>No Action)</w:t>
      </w:r>
      <w:r w:rsidR="00126B36" w:rsidRPr="00877C76">
        <w:rPr>
          <w:rFonts w:ascii="TimesNewRoman" w:eastAsiaTheme="minorHAnsi" w:hAnsi="TimesNewRoman" w:cs="TimesNewRoman"/>
        </w:rPr>
        <w:t xml:space="preserve"> is not </w:t>
      </w:r>
      <w:r w:rsidRPr="00877C76">
        <w:rPr>
          <w:rFonts w:ascii="TimesNewRoman" w:eastAsiaTheme="minorHAnsi" w:hAnsi="TimesNewRoman" w:cs="TimesNewRoman"/>
        </w:rPr>
        <w:t xml:space="preserve">protective of public health or the environment since it would discontinue the existing </w:t>
      </w:r>
      <w:r w:rsidR="00126B36" w:rsidRPr="00877C76">
        <w:rPr>
          <w:rFonts w:ascii="TimesNewRoman" w:eastAsiaTheme="minorHAnsi" w:hAnsi="TimesNewRoman" w:cs="TimesNewRoman"/>
        </w:rPr>
        <w:t>OU2 IRM</w:t>
      </w:r>
      <w:r w:rsidRPr="00877C76">
        <w:rPr>
          <w:rFonts w:ascii="TimesNewRoman" w:eastAsiaTheme="minorHAnsi" w:hAnsi="TimesNewRoman" w:cs="TimesNewRoman"/>
        </w:rPr>
        <w:t xml:space="preserve"> groundwater</w:t>
      </w:r>
      <w:r w:rsidR="00E0508E" w:rsidRPr="00877C76">
        <w:rPr>
          <w:rFonts w:ascii="TimesNewRoman" w:eastAsiaTheme="minorHAnsi" w:hAnsi="TimesNewRoman" w:cs="TimesNewRoman"/>
        </w:rPr>
        <w:t xml:space="preserve"> treatment </w:t>
      </w:r>
      <w:r w:rsidR="00126B36" w:rsidRPr="00877C76">
        <w:rPr>
          <w:rFonts w:ascii="TimesNewRoman" w:eastAsiaTheme="minorHAnsi" w:hAnsi="TimesNewRoman" w:cs="TimesNewRoman"/>
        </w:rPr>
        <w:t xml:space="preserve">system </w:t>
      </w:r>
      <w:r w:rsidRPr="00877C76">
        <w:rPr>
          <w:rFonts w:ascii="TimesNewRoman" w:eastAsiaTheme="minorHAnsi" w:hAnsi="TimesNewRoman" w:cs="TimesNewRoman"/>
        </w:rPr>
        <w:t>thus deceasing, rather than achieving, protection of pub</w:t>
      </w:r>
      <w:r w:rsidR="00126B36" w:rsidRPr="00877C76">
        <w:rPr>
          <w:rFonts w:ascii="TimesNewRoman" w:eastAsiaTheme="minorHAnsi" w:hAnsi="TimesNewRoman" w:cs="TimesNewRoman"/>
        </w:rPr>
        <w:t>lic health and the environment.  Hence,</w:t>
      </w:r>
      <w:r w:rsidRPr="00877C76">
        <w:rPr>
          <w:rFonts w:ascii="TimesNewRoman" w:eastAsiaTheme="minorHAnsi" w:hAnsi="TimesNewRoman" w:cs="TimesNewRoman"/>
        </w:rPr>
        <w:t xml:space="preserve"> Alternative 1 </w:t>
      </w:r>
      <w:r w:rsidR="00126B36" w:rsidRPr="00877C76">
        <w:rPr>
          <w:rFonts w:ascii="TimesNewRoman" w:eastAsiaTheme="minorHAnsi" w:hAnsi="TimesNewRoman" w:cs="TimesNewRoman"/>
        </w:rPr>
        <w:t>will not be evaluated further</w:t>
      </w:r>
      <w:r w:rsidRPr="00877C76">
        <w:rPr>
          <w:rFonts w:ascii="TimesNewRoman" w:eastAsiaTheme="minorHAnsi" w:hAnsi="TimesNewRoman" w:cs="TimesNewRoman"/>
        </w:rPr>
        <w:t>.</w:t>
      </w:r>
      <w:r w:rsidR="006C6A58" w:rsidRPr="00877C76">
        <w:rPr>
          <w:i/>
          <w:iCs/>
        </w:rPr>
        <w:t xml:space="preserve">  </w:t>
      </w:r>
    </w:p>
    <w:p w:rsidR="000966AC" w:rsidRPr="00877C76" w:rsidRDefault="000966AC" w:rsidP="00247138">
      <w:pPr>
        <w:widowControl/>
        <w:jc w:val="both"/>
        <w:rPr>
          <w:iCs/>
        </w:rPr>
      </w:pPr>
    </w:p>
    <w:p w:rsidR="00E67A9E" w:rsidRPr="00877C76" w:rsidRDefault="006C6A58" w:rsidP="00641585">
      <w:pPr>
        <w:widowControl/>
        <w:jc w:val="both"/>
        <w:rPr>
          <w:iCs/>
        </w:rPr>
      </w:pPr>
      <w:r w:rsidRPr="00877C76">
        <w:rPr>
          <w:iCs/>
        </w:rPr>
        <w:t xml:space="preserve">Alternative </w:t>
      </w:r>
      <w:r w:rsidR="0081520D" w:rsidRPr="00877C76">
        <w:rPr>
          <w:iCs/>
        </w:rPr>
        <w:t>5</w:t>
      </w:r>
      <w:r w:rsidRPr="00877C76">
        <w:rPr>
          <w:iCs/>
        </w:rPr>
        <w:t xml:space="preserve">, by </w:t>
      </w:r>
      <w:r w:rsidR="00C83D7F" w:rsidRPr="00877C76">
        <w:rPr>
          <w:iCs/>
        </w:rPr>
        <w:t xml:space="preserve">restoring </w:t>
      </w:r>
      <w:r w:rsidR="000B7EA5" w:rsidRPr="00877C76">
        <w:rPr>
          <w:iCs/>
        </w:rPr>
        <w:t xml:space="preserve">the </w:t>
      </w:r>
      <w:r w:rsidR="00C83D7F" w:rsidRPr="00877C76">
        <w:rPr>
          <w:iCs/>
        </w:rPr>
        <w:t>groundwater aquifer to pre-disposal/pre-release conditions</w:t>
      </w:r>
      <w:r w:rsidRPr="00877C76">
        <w:rPr>
          <w:iCs/>
        </w:rPr>
        <w:t xml:space="preserve"> meets the threshold criteria.</w:t>
      </w:r>
      <w:r w:rsidR="000966AC" w:rsidRPr="00877C76">
        <w:rPr>
          <w:i/>
          <w:iCs/>
        </w:rPr>
        <w:t xml:space="preserve">  </w:t>
      </w:r>
      <w:r w:rsidR="00C83D7F" w:rsidRPr="00877C76">
        <w:rPr>
          <w:iCs/>
        </w:rPr>
        <w:t xml:space="preserve">Alternative </w:t>
      </w:r>
      <w:r w:rsidR="001E04C4" w:rsidRPr="00877C76">
        <w:rPr>
          <w:iCs/>
        </w:rPr>
        <w:t>4 would c</w:t>
      </w:r>
      <w:r w:rsidR="001E04C4" w:rsidRPr="00877C76">
        <w:t>ontrol spread of higher concentrations of groundwater contamination in the area near the two new pump and treat lo</w:t>
      </w:r>
      <w:r w:rsidR="00C775EF" w:rsidRPr="00877C76">
        <w:t>c</w:t>
      </w:r>
      <w:r w:rsidR="001E04C4" w:rsidRPr="00877C76">
        <w:t>ations.</w:t>
      </w:r>
      <w:r w:rsidR="00C775EF" w:rsidRPr="00877C76">
        <w:t xml:space="preserve"> </w:t>
      </w:r>
      <w:r w:rsidR="00C775EF" w:rsidRPr="00877C76">
        <w:rPr>
          <w:iCs/>
        </w:rPr>
        <w:t xml:space="preserve"> </w:t>
      </w:r>
      <w:r w:rsidR="00AC75A1" w:rsidRPr="00877C76">
        <w:rPr>
          <w:iCs/>
        </w:rPr>
        <w:t xml:space="preserve">Alternatives 3, 4 and 5 </w:t>
      </w:r>
      <w:r w:rsidR="004142FF" w:rsidRPr="00877C76">
        <w:rPr>
          <w:iCs/>
        </w:rPr>
        <w:t xml:space="preserve">would </w:t>
      </w:r>
      <w:r w:rsidR="00AC75A1" w:rsidRPr="00877C76">
        <w:rPr>
          <w:iCs/>
        </w:rPr>
        <w:t>provide</w:t>
      </w:r>
      <w:r w:rsidR="00C775EF" w:rsidRPr="00877C76">
        <w:rPr>
          <w:iCs/>
        </w:rPr>
        <w:t xml:space="preserve"> </w:t>
      </w:r>
      <w:r w:rsidR="004142FF" w:rsidRPr="00877C76">
        <w:rPr>
          <w:iCs/>
        </w:rPr>
        <w:t>varying degrees of additional</w:t>
      </w:r>
      <w:r w:rsidR="00C775EF" w:rsidRPr="00877C76">
        <w:rPr>
          <w:iCs/>
        </w:rPr>
        <w:t xml:space="preserve"> e</w:t>
      </w:r>
      <w:r w:rsidR="00C775EF" w:rsidRPr="00877C76">
        <w:t>nvironmental protection</w:t>
      </w:r>
      <w:r w:rsidR="004142FF" w:rsidRPr="00877C76">
        <w:t xml:space="preserve"> as compared to</w:t>
      </w:r>
      <w:r w:rsidR="00C775EF" w:rsidRPr="00877C76">
        <w:t xml:space="preserve"> Alternative 2 since these three alternatives </w:t>
      </w:r>
      <w:r w:rsidR="004142FF" w:rsidRPr="00877C76">
        <w:t xml:space="preserve">would </w:t>
      </w:r>
      <w:r w:rsidR="00C775EF" w:rsidRPr="00877C76">
        <w:t>allow less migration of higher concentration groundwater</w:t>
      </w:r>
      <w:r w:rsidR="004142FF" w:rsidRPr="00877C76">
        <w:t xml:space="preserve"> within the plume, however they </w:t>
      </w:r>
      <w:r w:rsidR="00E461C5" w:rsidRPr="00877C76">
        <w:t xml:space="preserve">are </w:t>
      </w:r>
      <w:r w:rsidR="00C775EF" w:rsidRPr="00877C76">
        <w:t>not more protective of public health</w:t>
      </w:r>
      <w:r w:rsidR="004142FF" w:rsidRPr="00877C76">
        <w:t xml:space="preserve"> since</w:t>
      </w:r>
      <w:r w:rsidR="00AC75A1" w:rsidRPr="00877C76">
        <w:t xml:space="preserve"> Alternatives </w:t>
      </w:r>
      <w:r w:rsidR="004142FF" w:rsidRPr="00877C76">
        <w:t xml:space="preserve">2, </w:t>
      </w:r>
      <w:r w:rsidR="000966AC" w:rsidRPr="00877C76">
        <w:t>3,</w:t>
      </w:r>
      <w:r w:rsidR="00AC75A1" w:rsidRPr="00877C76">
        <w:t xml:space="preserve"> 4 and </w:t>
      </w:r>
      <w:r w:rsidR="000966AC" w:rsidRPr="00877C76">
        <w:t xml:space="preserve">5 </w:t>
      </w:r>
      <w:r w:rsidR="004142FF" w:rsidRPr="00877C76">
        <w:t xml:space="preserve">would all </w:t>
      </w:r>
      <w:r w:rsidR="000966AC" w:rsidRPr="00877C76">
        <w:t xml:space="preserve">require </w:t>
      </w:r>
      <w:r w:rsidR="00552765" w:rsidRPr="00877C76">
        <w:t>wellhead treatments at impacted public supply wells.</w:t>
      </w:r>
    </w:p>
    <w:p w:rsidR="00E67A9E" w:rsidRPr="00877C76" w:rsidRDefault="00E67A9E" w:rsidP="00247138">
      <w:pPr>
        <w:jc w:val="both"/>
      </w:pPr>
    </w:p>
    <w:p w:rsidR="006C6A58" w:rsidRPr="00877C76" w:rsidRDefault="006C6A58" w:rsidP="00247138">
      <w:pPr>
        <w:jc w:val="both"/>
      </w:pPr>
      <w:r w:rsidRPr="00877C76">
        <w:t xml:space="preserve">2.  </w:t>
      </w:r>
      <w:r w:rsidRPr="00877C76">
        <w:rPr>
          <w:u w:val="single"/>
        </w:rPr>
        <w:t>Compliance with New York State Standards, Criteria, and Guidance (SCGs).</w:t>
      </w:r>
      <w:r w:rsidRPr="00877C76">
        <w:t xml:space="preserve">  Compliance with SCGs addresses whether a remedy will meet environmental laws, regulations, and other standards and criteria. In addition, this criterion includes the consideration of guidance which the Department has determined to be applicable on a case-specific basis.</w:t>
      </w:r>
    </w:p>
    <w:p w:rsidR="00EE67BE" w:rsidRPr="00877C76" w:rsidRDefault="00EE67BE" w:rsidP="00247138">
      <w:pPr>
        <w:jc w:val="both"/>
      </w:pPr>
    </w:p>
    <w:p w:rsidR="009325EE" w:rsidRPr="00877C76" w:rsidRDefault="00EE67BE" w:rsidP="00CA47E6">
      <w:r w:rsidRPr="00877C76">
        <w:rPr>
          <w:rFonts w:ascii="TimesNewRoman" w:eastAsiaTheme="minorHAnsi" w:hAnsi="TimesNewRoman" w:cs="TimesNewRoman"/>
        </w:rPr>
        <w:t xml:space="preserve">Alternatives </w:t>
      </w:r>
      <w:r w:rsidR="00C37A9B" w:rsidRPr="00877C76">
        <w:rPr>
          <w:rFonts w:ascii="TimesNewRoman" w:eastAsiaTheme="minorHAnsi" w:hAnsi="TimesNewRoman" w:cs="TimesNewRoman"/>
        </w:rPr>
        <w:t xml:space="preserve">2, </w:t>
      </w:r>
      <w:r w:rsidRPr="00877C76">
        <w:rPr>
          <w:rFonts w:ascii="TimesNewRoman" w:eastAsiaTheme="minorHAnsi" w:hAnsi="TimesNewRoman" w:cs="TimesNewRoman"/>
        </w:rPr>
        <w:t>3, 4 and 5 would meet SCG</w:t>
      </w:r>
      <w:r w:rsidR="00C37A9B" w:rsidRPr="00877C76">
        <w:rPr>
          <w:rFonts w:ascii="TimesNewRoman" w:eastAsiaTheme="minorHAnsi" w:hAnsi="TimesNewRoman" w:cs="TimesNewRoman"/>
        </w:rPr>
        <w:t xml:space="preserve">s for groundwater </w:t>
      </w:r>
      <w:r w:rsidR="004142FF" w:rsidRPr="00877C76">
        <w:t>to</w:t>
      </w:r>
      <w:r w:rsidRPr="00877C76">
        <w:t xml:space="preserve"> varying degrees</w:t>
      </w:r>
      <w:r w:rsidR="00C37A9B" w:rsidRPr="00877C76">
        <w:t xml:space="preserve">.  </w:t>
      </w:r>
      <w:r w:rsidR="004142FF" w:rsidRPr="00877C76">
        <w:t>The additional p</w:t>
      </w:r>
      <w:r w:rsidR="00C37A9B" w:rsidRPr="00877C76">
        <w:t>ump</w:t>
      </w:r>
      <w:r w:rsidR="004142FF" w:rsidRPr="00877C76">
        <w:t>ing</w:t>
      </w:r>
      <w:r w:rsidR="00C37A9B" w:rsidRPr="00877C76">
        <w:t xml:space="preserve"> and treat</w:t>
      </w:r>
      <w:r w:rsidR="004142FF" w:rsidRPr="00877C76">
        <w:t xml:space="preserve">ing </w:t>
      </w:r>
      <w:r w:rsidR="00C730DC" w:rsidRPr="00877C76">
        <w:t xml:space="preserve">(P&amp;T) </w:t>
      </w:r>
      <w:r w:rsidR="004142FF" w:rsidRPr="00877C76">
        <w:t xml:space="preserve">of Alternatives 3,4 and </w:t>
      </w:r>
      <w:r w:rsidR="00C37A9B" w:rsidRPr="00877C76">
        <w:t xml:space="preserve"> will provide SCG compliance </w:t>
      </w:r>
      <w:r w:rsidR="004142FF" w:rsidRPr="00877C76">
        <w:t xml:space="preserve">in somewhat reduced time periods </w:t>
      </w:r>
      <w:r w:rsidR="00FF2885" w:rsidRPr="00877C76">
        <w:t>th</w:t>
      </w:r>
      <w:r w:rsidR="00C37A9B" w:rsidRPr="00877C76">
        <w:t xml:space="preserve">an </w:t>
      </w:r>
      <w:r w:rsidR="004142FF" w:rsidRPr="00877C76">
        <w:t>Alternative 2</w:t>
      </w:r>
      <w:r w:rsidR="000F19DE" w:rsidRPr="00877C76">
        <w:t xml:space="preserve"> since </w:t>
      </w:r>
      <w:r w:rsidR="004142FF" w:rsidRPr="00877C76">
        <w:t xml:space="preserve">they </w:t>
      </w:r>
      <w:r w:rsidR="000F19DE" w:rsidRPr="00877C76">
        <w:t>allow less migration of higher concentration groundwater</w:t>
      </w:r>
      <w:r w:rsidR="00FF2885" w:rsidRPr="00877C76">
        <w:t>.</w:t>
      </w:r>
      <w:r w:rsidR="009325EE" w:rsidRPr="00877C76">
        <w:t xml:space="preserve"> </w:t>
      </w:r>
      <w:r w:rsidR="00CA47E6" w:rsidRPr="00877C76">
        <w:t xml:space="preserve">Alternative 2 will meet groundwater standards eventually, </w:t>
      </w:r>
      <w:r w:rsidR="00412337" w:rsidRPr="00877C76">
        <w:t xml:space="preserve">but </w:t>
      </w:r>
      <w:r w:rsidR="00CA47E6" w:rsidRPr="00877C76">
        <w:t xml:space="preserve">a wider area </w:t>
      </w:r>
      <w:r w:rsidR="00412337" w:rsidRPr="00877C76">
        <w:t>will be affected before this occurs</w:t>
      </w:r>
      <w:r w:rsidR="00CA47E6" w:rsidRPr="00877C76">
        <w:t>. However</w:t>
      </w:r>
      <w:r w:rsidR="00412337" w:rsidRPr="00877C76">
        <w:t xml:space="preserve">, under </w:t>
      </w:r>
      <w:r w:rsidR="004142FF" w:rsidRPr="00877C76">
        <w:t xml:space="preserve">for </w:t>
      </w:r>
      <w:r w:rsidR="00412337" w:rsidRPr="00877C76">
        <w:t xml:space="preserve">all alternatives, </w:t>
      </w:r>
      <w:r w:rsidR="00CA47E6" w:rsidRPr="00877C76">
        <w:t xml:space="preserve">wellhead treatment </w:t>
      </w:r>
      <w:r w:rsidR="004142FF" w:rsidRPr="00877C76">
        <w:t xml:space="preserve">will be required </w:t>
      </w:r>
      <w:r w:rsidR="00CA47E6" w:rsidRPr="00877C76">
        <w:t>at the currently impacted well</w:t>
      </w:r>
      <w:r w:rsidR="004142FF" w:rsidRPr="00877C76">
        <w:t xml:space="preserve"> and threatened well </w:t>
      </w:r>
      <w:r w:rsidR="00CA47E6" w:rsidRPr="00877C76">
        <w:t xml:space="preserve">for at least 20 years. </w:t>
      </w:r>
    </w:p>
    <w:p w:rsidR="0085545B" w:rsidRPr="00877C76" w:rsidRDefault="0085545B" w:rsidP="00C37A9B">
      <w:pPr>
        <w:jc w:val="both"/>
      </w:pPr>
    </w:p>
    <w:p w:rsidR="006C6A58" w:rsidRPr="00877C76" w:rsidRDefault="006C6A58" w:rsidP="00247138">
      <w:pPr>
        <w:jc w:val="both"/>
      </w:pPr>
      <w:r w:rsidRPr="00877C76">
        <w:t>The next six "primary balancing criteria" are used to compare the positive and negative aspects of each of the remedial strategies.</w:t>
      </w:r>
    </w:p>
    <w:p w:rsidR="006C6A58" w:rsidRPr="00877C76" w:rsidRDefault="006C6A58" w:rsidP="00247138">
      <w:pPr>
        <w:jc w:val="both"/>
      </w:pPr>
    </w:p>
    <w:p w:rsidR="006C6A58" w:rsidRPr="00877C76" w:rsidRDefault="006C6A58" w:rsidP="00247138">
      <w:pPr>
        <w:jc w:val="both"/>
      </w:pPr>
      <w:r w:rsidRPr="00877C76">
        <w:t xml:space="preserve">3.  </w:t>
      </w:r>
      <w:r w:rsidRPr="00877C76">
        <w:rPr>
          <w:u w:val="single"/>
        </w:rPr>
        <w:t>Long-term Effectiveness and Permanence.</w:t>
      </w:r>
      <w:r w:rsidRPr="00877C76">
        <w:t xml:space="preserve">  This criterion evaluates the long-term effectiveness of the remedial alternatives after implementation.  </w:t>
      </w:r>
    </w:p>
    <w:p w:rsidR="005D356E" w:rsidRPr="00877C76" w:rsidRDefault="005D356E" w:rsidP="00247138">
      <w:pPr>
        <w:jc w:val="both"/>
      </w:pPr>
    </w:p>
    <w:p w:rsidR="00205644" w:rsidRPr="00877C76" w:rsidRDefault="00205644" w:rsidP="005D356E">
      <w:pPr>
        <w:jc w:val="both"/>
        <w:rPr>
          <w:rFonts w:ascii="TimesNewRoman" w:eastAsiaTheme="minorHAnsi" w:hAnsi="TimesNewRoman" w:cs="TimesNewRoman"/>
        </w:rPr>
      </w:pPr>
      <w:r w:rsidRPr="00877C76">
        <w:rPr>
          <w:rFonts w:ascii="TimesNewRoman" w:eastAsiaTheme="minorHAnsi" w:hAnsi="TimesNewRoman" w:cs="TimesNewRoman"/>
        </w:rPr>
        <w:t xml:space="preserve">Alternatives 3, 4 and 5 would reduce </w:t>
      </w:r>
      <w:r w:rsidRPr="00877C76">
        <w:t xml:space="preserve">the contaminant </w:t>
      </w:r>
      <w:r w:rsidR="00A364AB" w:rsidRPr="00877C76">
        <w:t>mass</w:t>
      </w:r>
      <w:r w:rsidRPr="00877C76">
        <w:t xml:space="preserve"> </w:t>
      </w:r>
      <w:r w:rsidR="004142FF" w:rsidRPr="00877C76">
        <w:t>to</w:t>
      </w:r>
      <w:r w:rsidRPr="00877C76">
        <w:t xml:space="preserve"> varying degrees </w:t>
      </w:r>
      <w:r w:rsidR="00A364AB" w:rsidRPr="00877C76">
        <w:t xml:space="preserve">before </w:t>
      </w:r>
      <w:r w:rsidRPr="00877C76">
        <w:t xml:space="preserve">reaching public supply wells and </w:t>
      </w:r>
      <w:r w:rsidR="004142FF" w:rsidRPr="00877C76">
        <w:t xml:space="preserve">thus </w:t>
      </w:r>
      <w:r w:rsidRPr="00877C76">
        <w:t>provid</w:t>
      </w:r>
      <w:r w:rsidR="004142FF" w:rsidRPr="00877C76">
        <w:t>ing</w:t>
      </w:r>
      <w:r w:rsidRPr="00877C76">
        <w:t xml:space="preserve"> marginally better long-term effectiveness and permanence for environmental protection than </w:t>
      </w:r>
      <w:r w:rsidR="004142FF" w:rsidRPr="00877C76">
        <w:t>A</w:t>
      </w:r>
      <w:r w:rsidRPr="00877C76">
        <w:t xml:space="preserve">lternative 2. However, all alternatives </w:t>
      </w:r>
      <w:r w:rsidR="00C730DC" w:rsidRPr="00877C76">
        <w:t xml:space="preserve">would </w:t>
      </w:r>
      <w:r w:rsidR="00A364AB" w:rsidRPr="00877C76">
        <w:t xml:space="preserve">provide </w:t>
      </w:r>
      <w:r w:rsidRPr="00877C76">
        <w:t xml:space="preserve">similar protection </w:t>
      </w:r>
      <w:r w:rsidR="00412337" w:rsidRPr="00877C76">
        <w:t>for</w:t>
      </w:r>
      <w:r w:rsidRPr="00877C76">
        <w:t xml:space="preserve"> public health.</w:t>
      </w:r>
      <w:r w:rsidR="00A364AB" w:rsidRPr="00877C76">
        <w:t xml:space="preserve"> Alternative 2 would reduce less contaminant mass than other </w:t>
      </w:r>
      <w:r w:rsidR="00C730DC" w:rsidRPr="00877C76">
        <w:t>A</w:t>
      </w:r>
      <w:r w:rsidR="00A364AB" w:rsidRPr="00877C76">
        <w:t>lternatives 3, 4 and 5 before reaching public supply wells but provide similar protection for public health</w:t>
      </w:r>
      <w:r w:rsidR="00412337" w:rsidRPr="00877C76">
        <w:t>.</w:t>
      </w:r>
    </w:p>
    <w:p w:rsidR="00205644" w:rsidRPr="00877C76" w:rsidRDefault="00205644" w:rsidP="00DA75DC">
      <w:pPr>
        <w:widowControl/>
        <w:jc w:val="both"/>
        <w:rPr>
          <w:rFonts w:ascii="TimesNewRoman" w:eastAsiaTheme="minorHAnsi" w:hAnsi="TimesNewRoman" w:cs="TimesNewRoman"/>
        </w:rPr>
      </w:pPr>
    </w:p>
    <w:p w:rsidR="006C6A58" w:rsidRPr="00877C76" w:rsidRDefault="006C6A58" w:rsidP="00247138">
      <w:pPr>
        <w:jc w:val="both"/>
      </w:pPr>
      <w:r w:rsidRPr="00877C76">
        <w:t xml:space="preserve">4.  </w:t>
      </w:r>
      <w:r w:rsidRPr="00877C76">
        <w:rPr>
          <w:u w:val="single"/>
        </w:rPr>
        <w:t>Reduction of Toxicity, Mobility or Volume.</w:t>
      </w:r>
      <w:r w:rsidRPr="00877C76">
        <w:t xml:space="preserve">  Preference is given to alternatives that permanently and significantly reduce the toxicity, mobility or volume of the wastes at the site.</w:t>
      </w:r>
    </w:p>
    <w:p w:rsidR="00D60BD6" w:rsidRPr="00877C76" w:rsidRDefault="00D60BD6" w:rsidP="00247138">
      <w:pPr>
        <w:jc w:val="both"/>
      </w:pPr>
    </w:p>
    <w:p w:rsidR="00A0449C" w:rsidRPr="00877C76" w:rsidRDefault="00A0449C" w:rsidP="00A44C81">
      <w:pPr>
        <w:jc w:val="both"/>
      </w:pPr>
      <w:r w:rsidRPr="00A66CAB">
        <w:rPr>
          <w:rFonts w:ascii="TimesNewRoman" w:eastAsiaTheme="minorHAnsi" w:hAnsi="TimesNewRoman" w:cs="TimesNewRoman"/>
        </w:rPr>
        <w:t xml:space="preserve">Alternatives 2, 3, 4 and 5 all address the off-site contaminated groundwater to varying degrees and thus each result in reduction of the toxicity and mobility or volume of the contaminants in the off-site groundwater.  Alternative 3, 4 and 5 would </w:t>
      </w:r>
      <w:r w:rsidR="0013455B">
        <w:rPr>
          <w:rFonts w:ascii="TimesNewRoman" w:eastAsiaTheme="minorHAnsi" w:hAnsi="TimesNewRoman" w:cs="TimesNewRoman"/>
        </w:rPr>
        <w:t xml:space="preserve">further </w:t>
      </w:r>
      <w:r w:rsidRPr="00A66CAB">
        <w:rPr>
          <w:rFonts w:ascii="TimesNewRoman" w:eastAsiaTheme="minorHAnsi" w:hAnsi="TimesNewRoman" w:cs="TimesNewRoman"/>
        </w:rPr>
        <w:t>reduce toxicity and mobility or volume at P</w:t>
      </w:r>
      <w:r w:rsidR="0013455B">
        <w:rPr>
          <w:rFonts w:ascii="TimesNewRoman" w:eastAsiaTheme="minorHAnsi" w:hAnsi="TimesNewRoman" w:cs="TimesNewRoman"/>
        </w:rPr>
        <w:t>&amp;</w:t>
      </w:r>
      <w:r w:rsidRPr="00A66CAB">
        <w:rPr>
          <w:rFonts w:ascii="TimesNewRoman" w:eastAsiaTheme="minorHAnsi" w:hAnsi="TimesNewRoman" w:cs="TimesNewRoman"/>
        </w:rPr>
        <w:t xml:space="preserve">T locations. Alternatives 3 and 4 would not completely contain the groundwater plume, which will continue to </w:t>
      </w:r>
      <w:r w:rsidRPr="00A66CAB">
        <w:t xml:space="preserve">spread in those areas outside the capture zone of </w:t>
      </w:r>
      <w:r w:rsidR="00F026C5" w:rsidRPr="00A66CAB">
        <w:t>the pump and treat systems</w:t>
      </w:r>
      <w:r w:rsidR="00A66CAB" w:rsidRPr="00A66CAB">
        <w:t>,</w:t>
      </w:r>
      <w:r w:rsidRPr="00A66CAB">
        <w:t xml:space="preserve"> but</w:t>
      </w:r>
      <w:r w:rsidR="00A44C81" w:rsidRPr="00A66CAB">
        <w:t xml:space="preserve"> to a</w:t>
      </w:r>
      <w:r w:rsidRPr="00A66CAB">
        <w:t xml:space="preserve"> lesser extent than Alternative 2. Alternative 5 </w:t>
      </w:r>
      <w:r w:rsidR="0013455B">
        <w:t xml:space="preserve">best satisfies </w:t>
      </w:r>
      <w:proofErr w:type="gramStart"/>
      <w:r w:rsidR="0013455B">
        <w:t>this criteria</w:t>
      </w:r>
      <w:proofErr w:type="gramEnd"/>
      <w:r w:rsidR="0013455B">
        <w:t>, by providing the most</w:t>
      </w:r>
      <w:r w:rsidRPr="00A66CAB">
        <w:t xml:space="preserve"> containment. </w:t>
      </w:r>
      <w:r w:rsidRPr="00A66CAB">
        <w:rPr>
          <w:rFonts w:ascii="TimesNewRoman" w:eastAsiaTheme="minorHAnsi" w:hAnsi="TimesNewRoman" w:cs="TimesNewRoman"/>
        </w:rPr>
        <w:t>A</w:t>
      </w:r>
      <w:r w:rsidRPr="00A66CAB">
        <w:t xml:space="preserve">lternative 2 will reduce </w:t>
      </w:r>
      <w:r w:rsidRPr="00A66CAB">
        <w:rPr>
          <w:rFonts w:ascii="TimesNewRoman" w:eastAsiaTheme="minorHAnsi" w:hAnsi="TimesNewRoman" w:cs="TimesNewRoman"/>
        </w:rPr>
        <w:t>the toxicity and mobility or volume</w:t>
      </w:r>
      <w:r w:rsidRPr="00A66CAB">
        <w:t xml:space="preserve"> at public supply well locations</w:t>
      </w:r>
      <w:r w:rsidR="00A66CAB" w:rsidRPr="00A66CAB">
        <w:t>,</w:t>
      </w:r>
      <w:r w:rsidRPr="00A66CAB">
        <w:t xml:space="preserve"> but plume will spread in those areas outside capture zone of public supply well locations.</w:t>
      </w:r>
      <w:r w:rsidRPr="00877C76">
        <w:t xml:space="preserve"> </w:t>
      </w:r>
    </w:p>
    <w:p w:rsidR="00A0449C" w:rsidRPr="00877C76" w:rsidRDefault="00A0449C" w:rsidP="00247138">
      <w:pPr>
        <w:widowControl/>
        <w:jc w:val="both"/>
      </w:pPr>
    </w:p>
    <w:p w:rsidR="006C6A58" w:rsidRPr="00877C76" w:rsidRDefault="006C6A58" w:rsidP="00247138">
      <w:pPr>
        <w:jc w:val="both"/>
      </w:pPr>
      <w:r w:rsidRPr="00877C76">
        <w:t xml:space="preserve">5.  </w:t>
      </w:r>
      <w:r w:rsidRPr="00877C76">
        <w:rPr>
          <w:u w:val="single"/>
        </w:rPr>
        <w:t>Short-term Impacts and Effectiveness.</w:t>
      </w:r>
      <w:r w:rsidRPr="00877C76">
        <w:t xml:space="preserve">  The potential short-term adverse impacts of the remedial action upon the community, the workers, and the environment during the construction and/or implementation are evaluated.  The length of time needed to achieve the remedial objectives is also estimated and compared against the other alternatives.</w:t>
      </w:r>
    </w:p>
    <w:p w:rsidR="00A87E65" w:rsidRPr="00877C76" w:rsidRDefault="00A87E65" w:rsidP="00247138">
      <w:pPr>
        <w:jc w:val="both"/>
      </w:pPr>
    </w:p>
    <w:p w:rsidR="00AD5EEE" w:rsidRPr="00A44C81" w:rsidRDefault="00AD5EEE" w:rsidP="00A44C81">
      <w:pPr>
        <w:pStyle w:val="CommentText"/>
        <w:jc w:val="both"/>
        <w:rPr>
          <w:sz w:val="24"/>
          <w:szCs w:val="24"/>
        </w:rPr>
      </w:pPr>
      <w:r w:rsidRPr="00A44C81">
        <w:rPr>
          <w:sz w:val="24"/>
          <w:szCs w:val="24"/>
        </w:rPr>
        <w:t>Alternative 2 poses minimal disruption to the community as the treatment systems are largely already installed and additional wells will not be required.</w:t>
      </w:r>
      <w:r w:rsidR="00A44C81" w:rsidRPr="00A44C81">
        <w:rPr>
          <w:sz w:val="24"/>
          <w:szCs w:val="24"/>
        </w:rPr>
        <w:t xml:space="preserve"> </w:t>
      </w:r>
      <w:r w:rsidR="001D5A11" w:rsidRPr="00A44C81">
        <w:rPr>
          <w:iCs/>
          <w:sz w:val="24"/>
          <w:szCs w:val="24"/>
        </w:rPr>
        <w:t xml:space="preserve">Alternatives 3 through 5 </w:t>
      </w:r>
      <w:r w:rsidR="00CA1369" w:rsidRPr="00A44C81">
        <w:rPr>
          <w:rFonts w:eastAsiaTheme="minorHAnsi"/>
          <w:sz w:val="24"/>
          <w:szCs w:val="24"/>
        </w:rPr>
        <w:t xml:space="preserve">will </w:t>
      </w:r>
      <w:r w:rsidR="001D5A11">
        <w:rPr>
          <w:rFonts w:eastAsiaTheme="minorHAnsi"/>
          <w:sz w:val="24"/>
          <w:szCs w:val="24"/>
        </w:rPr>
        <w:t>result in</w:t>
      </w:r>
      <w:r w:rsidR="00CA1369" w:rsidRPr="00A44C81">
        <w:rPr>
          <w:rFonts w:eastAsiaTheme="minorHAnsi"/>
          <w:sz w:val="24"/>
          <w:szCs w:val="24"/>
        </w:rPr>
        <w:t xml:space="preserve"> </w:t>
      </w:r>
      <w:r w:rsidR="00B20A1E" w:rsidRPr="00A44C81">
        <w:rPr>
          <w:rFonts w:eastAsiaTheme="minorHAnsi"/>
          <w:sz w:val="24"/>
          <w:szCs w:val="24"/>
        </w:rPr>
        <w:t xml:space="preserve">increased short-term impacts </w:t>
      </w:r>
      <w:r w:rsidR="00CA1369" w:rsidRPr="00A44C81">
        <w:rPr>
          <w:rFonts w:eastAsiaTheme="minorHAnsi"/>
          <w:sz w:val="24"/>
          <w:szCs w:val="24"/>
        </w:rPr>
        <w:t xml:space="preserve">to the community </w:t>
      </w:r>
      <w:r w:rsidR="00B20A1E" w:rsidRPr="00A44C81">
        <w:rPr>
          <w:rFonts w:eastAsiaTheme="minorHAnsi"/>
          <w:sz w:val="24"/>
          <w:szCs w:val="24"/>
        </w:rPr>
        <w:t xml:space="preserve">due to the degree of difficulty of constructing </w:t>
      </w:r>
      <w:r w:rsidR="00CA1369" w:rsidRPr="00A44C81">
        <w:rPr>
          <w:rFonts w:eastAsiaTheme="minorHAnsi"/>
          <w:sz w:val="24"/>
          <w:szCs w:val="24"/>
        </w:rPr>
        <w:t>t</w:t>
      </w:r>
      <w:r w:rsidR="00C730DC" w:rsidRPr="00A44C81">
        <w:rPr>
          <w:rFonts w:eastAsiaTheme="minorHAnsi"/>
          <w:sz w:val="24"/>
          <w:szCs w:val="24"/>
        </w:rPr>
        <w:t xml:space="preserve">he ever </w:t>
      </w:r>
      <w:r w:rsidR="00B20A1E" w:rsidRPr="00A44C81">
        <w:rPr>
          <w:rFonts w:eastAsiaTheme="minorHAnsi"/>
          <w:sz w:val="24"/>
          <w:szCs w:val="24"/>
        </w:rPr>
        <w:t xml:space="preserve">larger </w:t>
      </w:r>
      <w:r w:rsidR="00604C36" w:rsidRPr="00A44C81">
        <w:rPr>
          <w:rFonts w:eastAsiaTheme="minorHAnsi"/>
          <w:sz w:val="24"/>
          <w:szCs w:val="24"/>
        </w:rPr>
        <w:t>off-site</w:t>
      </w:r>
      <w:r w:rsidR="00B20A1E" w:rsidRPr="00A44C81">
        <w:rPr>
          <w:rFonts w:eastAsiaTheme="minorHAnsi"/>
          <w:sz w:val="24"/>
          <w:szCs w:val="24"/>
        </w:rPr>
        <w:t xml:space="preserve"> groundwater pump and treatment system</w:t>
      </w:r>
      <w:r w:rsidR="00C730DC" w:rsidRPr="00A44C81">
        <w:rPr>
          <w:rFonts w:eastAsiaTheme="minorHAnsi"/>
          <w:sz w:val="24"/>
          <w:szCs w:val="24"/>
        </w:rPr>
        <w:t>s</w:t>
      </w:r>
      <w:r w:rsidR="00A44C81">
        <w:rPr>
          <w:rFonts w:eastAsiaTheme="minorHAnsi"/>
          <w:sz w:val="24"/>
          <w:szCs w:val="24"/>
        </w:rPr>
        <w:t>. These systems would include a</w:t>
      </w:r>
      <w:r w:rsidR="00B20A1E" w:rsidRPr="00A44C81">
        <w:rPr>
          <w:rFonts w:eastAsiaTheme="minorHAnsi"/>
          <w:sz w:val="24"/>
          <w:szCs w:val="24"/>
        </w:rPr>
        <w:t xml:space="preserve"> larger number of groundwater extraction wells, pipelines, treatment system(s) and points of discharge</w:t>
      </w:r>
      <w:r w:rsidR="00C730DC" w:rsidRPr="00A44C81">
        <w:rPr>
          <w:rFonts w:eastAsiaTheme="minorHAnsi"/>
          <w:sz w:val="24"/>
          <w:szCs w:val="24"/>
        </w:rPr>
        <w:t xml:space="preserve"> at several locations in the plume</w:t>
      </w:r>
      <w:r w:rsidR="00B20A1E" w:rsidRPr="00A44C81">
        <w:rPr>
          <w:rFonts w:eastAsiaTheme="minorHAnsi"/>
          <w:sz w:val="24"/>
          <w:szCs w:val="24"/>
        </w:rPr>
        <w:t xml:space="preserve">. There are potential risks to the community, workers, and environment that would result from </w:t>
      </w:r>
      <w:r w:rsidR="006D160F" w:rsidRPr="00A44C81">
        <w:rPr>
          <w:rFonts w:eastAsiaTheme="minorHAnsi"/>
          <w:sz w:val="24"/>
          <w:szCs w:val="24"/>
        </w:rPr>
        <w:t xml:space="preserve">the </w:t>
      </w:r>
      <w:r w:rsidR="00B20A1E" w:rsidRPr="00A44C81">
        <w:rPr>
          <w:rFonts w:eastAsiaTheme="minorHAnsi"/>
          <w:sz w:val="24"/>
          <w:szCs w:val="24"/>
        </w:rPr>
        <w:t>carrying out of these tasks</w:t>
      </w:r>
      <w:r w:rsidR="00A44C81">
        <w:rPr>
          <w:rFonts w:eastAsiaTheme="minorHAnsi"/>
          <w:sz w:val="24"/>
          <w:szCs w:val="24"/>
        </w:rPr>
        <w:t xml:space="preserve"> under</w:t>
      </w:r>
      <w:r w:rsidR="00B20A1E" w:rsidRPr="00A44C81">
        <w:rPr>
          <w:rFonts w:eastAsiaTheme="minorHAnsi"/>
          <w:sz w:val="24"/>
          <w:szCs w:val="24"/>
        </w:rPr>
        <w:t xml:space="preserve"> Alternatives 3, 4 and 5 </w:t>
      </w:r>
      <w:r w:rsidR="00C730DC" w:rsidRPr="00A44C81">
        <w:rPr>
          <w:rFonts w:eastAsiaTheme="minorHAnsi"/>
          <w:sz w:val="24"/>
          <w:szCs w:val="24"/>
        </w:rPr>
        <w:t>to</w:t>
      </w:r>
      <w:r w:rsidR="00B20A1E" w:rsidRPr="00A44C81">
        <w:rPr>
          <w:rFonts w:eastAsiaTheme="minorHAnsi"/>
          <w:sz w:val="24"/>
          <w:szCs w:val="24"/>
        </w:rPr>
        <w:t xml:space="preserve"> var</w:t>
      </w:r>
      <w:r w:rsidR="00C730DC" w:rsidRPr="00A44C81">
        <w:rPr>
          <w:rFonts w:eastAsiaTheme="minorHAnsi"/>
          <w:sz w:val="24"/>
          <w:szCs w:val="24"/>
        </w:rPr>
        <w:t>ying</w:t>
      </w:r>
      <w:r w:rsidR="00B20A1E" w:rsidRPr="00A44C81">
        <w:rPr>
          <w:rFonts w:eastAsiaTheme="minorHAnsi"/>
          <w:sz w:val="24"/>
          <w:szCs w:val="24"/>
        </w:rPr>
        <w:t xml:space="preserve"> degree</w:t>
      </w:r>
      <w:r w:rsidR="00C730DC" w:rsidRPr="00A44C81">
        <w:rPr>
          <w:rFonts w:eastAsiaTheme="minorHAnsi"/>
          <w:sz w:val="24"/>
          <w:szCs w:val="24"/>
        </w:rPr>
        <w:t xml:space="preserve">s </w:t>
      </w:r>
      <w:r w:rsidR="00CA1369" w:rsidRPr="00A44C81">
        <w:rPr>
          <w:rFonts w:eastAsiaTheme="minorHAnsi"/>
          <w:sz w:val="24"/>
          <w:szCs w:val="24"/>
        </w:rPr>
        <w:t>associated</w:t>
      </w:r>
      <w:r w:rsidR="00C730DC" w:rsidRPr="00A44C81">
        <w:rPr>
          <w:rFonts w:eastAsiaTheme="minorHAnsi"/>
          <w:sz w:val="24"/>
          <w:szCs w:val="24"/>
        </w:rPr>
        <w:t xml:space="preserve"> with the significant construction </w:t>
      </w:r>
      <w:r w:rsidR="00561CD6" w:rsidRPr="00A44C81">
        <w:rPr>
          <w:rFonts w:eastAsiaTheme="minorHAnsi"/>
          <w:sz w:val="24"/>
          <w:szCs w:val="24"/>
        </w:rPr>
        <w:t>related noise, dust, traffic and road closures within highly developed residential/commercial areas.</w:t>
      </w:r>
      <w:r w:rsidR="00144E4A" w:rsidRPr="00A44C81">
        <w:rPr>
          <w:rFonts w:eastAsiaTheme="minorHAnsi"/>
          <w:sz w:val="24"/>
          <w:szCs w:val="24"/>
        </w:rPr>
        <w:t xml:space="preserve"> </w:t>
      </w:r>
      <w:r w:rsidR="00B20A1E" w:rsidRPr="00A44C81">
        <w:rPr>
          <w:rFonts w:eastAsiaTheme="minorHAnsi"/>
          <w:sz w:val="24"/>
          <w:szCs w:val="24"/>
        </w:rPr>
        <w:t xml:space="preserve">These </w:t>
      </w:r>
      <w:r w:rsidR="00144E4A" w:rsidRPr="00A44C81">
        <w:rPr>
          <w:rFonts w:eastAsiaTheme="minorHAnsi"/>
          <w:sz w:val="24"/>
          <w:szCs w:val="24"/>
        </w:rPr>
        <w:t xml:space="preserve">impacts </w:t>
      </w:r>
      <w:r w:rsidR="00B20A1E" w:rsidRPr="00A44C81">
        <w:rPr>
          <w:rFonts w:eastAsiaTheme="minorHAnsi"/>
          <w:sz w:val="24"/>
          <w:szCs w:val="24"/>
        </w:rPr>
        <w:t>would be controlled with the</w:t>
      </w:r>
      <w:r w:rsidR="00144E4A" w:rsidRPr="00A44C81">
        <w:rPr>
          <w:rFonts w:eastAsiaTheme="minorHAnsi"/>
          <w:sz w:val="24"/>
          <w:szCs w:val="24"/>
        </w:rPr>
        <w:t xml:space="preserve"> </w:t>
      </w:r>
      <w:r w:rsidR="00B20A1E" w:rsidRPr="00A44C81">
        <w:rPr>
          <w:rFonts w:eastAsiaTheme="minorHAnsi"/>
          <w:sz w:val="24"/>
          <w:szCs w:val="24"/>
        </w:rPr>
        <w:t>appropriate health and safety measures and proper engineering controls. Alternative 3 has the highest potential short</w:t>
      </w:r>
      <w:r w:rsidR="009E0FB1" w:rsidRPr="00A44C81">
        <w:rPr>
          <w:rFonts w:eastAsiaTheme="minorHAnsi"/>
          <w:sz w:val="24"/>
          <w:szCs w:val="24"/>
        </w:rPr>
        <w:t>-</w:t>
      </w:r>
      <w:r w:rsidR="00B20A1E" w:rsidRPr="00A44C81">
        <w:rPr>
          <w:rFonts w:eastAsiaTheme="minorHAnsi"/>
          <w:sz w:val="24"/>
          <w:szCs w:val="24"/>
        </w:rPr>
        <w:t>term impacts and would take the longest to</w:t>
      </w:r>
      <w:r w:rsidR="00144E4A" w:rsidRPr="00A44C81">
        <w:rPr>
          <w:rFonts w:eastAsiaTheme="minorHAnsi"/>
          <w:sz w:val="24"/>
          <w:szCs w:val="24"/>
        </w:rPr>
        <w:t xml:space="preserve"> </w:t>
      </w:r>
      <w:r w:rsidR="00B20A1E" w:rsidRPr="00A44C81">
        <w:rPr>
          <w:rFonts w:eastAsiaTheme="minorHAnsi"/>
          <w:sz w:val="24"/>
          <w:szCs w:val="24"/>
        </w:rPr>
        <w:t xml:space="preserve">implement followed by Alternatives </w:t>
      </w:r>
      <w:r w:rsidR="00144E4A" w:rsidRPr="00A44C81">
        <w:rPr>
          <w:rFonts w:eastAsiaTheme="minorHAnsi"/>
          <w:sz w:val="24"/>
          <w:szCs w:val="24"/>
        </w:rPr>
        <w:t>4</w:t>
      </w:r>
      <w:r w:rsidR="00B20A1E" w:rsidRPr="00A44C81">
        <w:rPr>
          <w:rFonts w:eastAsiaTheme="minorHAnsi"/>
          <w:sz w:val="24"/>
          <w:szCs w:val="24"/>
        </w:rPr>
        <w:t xml:space="preserve"> and </w:t>
      </w:r>
      <w:r w:rsidR="00144E4A" w:rsidRPr="00A44C81">
        <w:rPr>
          <w:rFonts w:eastAsiaTheme="minorHAnsi"/>
          <w:sz w:val="24"/>
          <w:szCs w:val="24"/>
        </w:rPr>
        <w:t>5</w:t>
      </w:r>
      <w:r w:rsidR="00367146" w:rsidRPr="00A44C81">
        <w:rPr>
          <w:rFonts w:eastAsiaTheme="minorHAnsi"/>
          <w:sz w:val="24"/>
          <w:szCs w:val="24"/>
        </w:rPr>
        <w:t>.</w:t>
      </w:r>
    </w:p>
    <w:p w:rsidR="00A87E65" w:rsidRPr="00877C76" w:rsidRDefault="00A87E65" w:rsidP="00247138">
      <w:pPr>
        <w:widowControl/>
        <w:jc w:val="both"/>
      </w:pPr>
    </w:p>
    <w:p w:rsidR="009E0FB1" w:rsidRPr="00877C76" w:rsidRDefault="006C6A58" w:rsidP="00247138">
      <w:pPr>
        <w:jc w:val="both"/>
      </w:pPr>
      <w:r w:rsidRPr="00877C76">
        <w:t xml:space="preserve">6.  </w:t>
      </w:r>
      <w:r w:rsidRPr="00877C76">
        <w:rPr>
          <w:u w:val="single"/>
        </w:rPr>
        <w:t>Implementability.</w:t>
      </w:r>
      <w:r w:rsidRPr="00877C76">
        <w:t xml:space="preserve">  The technical and administrative feasibility of implementing each alternative are evaluated.  Technical feasibility includes the difficulties associated with the construction of the remedy and the ability to monitor its effectiveness.  For administrative feasibility, the availability of the necessary personnel and materials is evaluated along with potential difficulties in obtaining specific operating approvals, access for construction, institutional controls, and so forth.</w:t>
      </w:r>
      <w:r w:rsidR="002252A3" w:rsidRPr="00877C76">
        <w:t xml:space="preserve">  </w:t>
      </w:r>
    </w:p>
    <w:p w:rsidR="009E0FB1" w:rsidRPr="00877C76" w:rsidRDefault="009E0FB1" w:rsidP="00247138">
      <w:pPr>
        <w:jc w:val="both"/>
      </w:pPr>
    </w:p>
    <w:p w:rsidR="00AD5EEE" w:rsidRPr="00877C76" w:rsidRDefault="00C70C21" w:rsidP="00AD5EEE">
      <w:pPr>
        <w:jc w:val="both"/>
      </w:pPr>
      <w:r w:rsidRPr="00877C76">
        <w:rPr>
          <w:rFonts w:ascii="TimesNewRoman" w:eastAsiaTheme="minorHAnsi" w:hAnsi="TimesNewRoman" w:cs="TimesNewRoman"/>
        </w:rPr>
        <w:t xml:space="preserve">There is a </w:t>
      </w:r>
      <w:r w:rsidR="00561CD6" w:rsidRPr="00877C76">
        <w:rPr>
          <w:rFonts w:ascii="TimesNewRoman" w:eastAsiaTheme="minorHAnsi" w:hAnsi="TimesNewRoman" w:cs="TimesNewRoman"/>
        </w:rPr>
        <w:t xml:space="preserve">significantly </w:t>
      </w:r>
      <w:r w:rsidRPr="00877C76">
        <w:rPr>
          <w:rFonts w:ascii="TimesNewRoman" w:eastAsiaTheme="minorHAnsi" w:hAnsi="TimesNewRoman" w:cs="TimesNewRoman"/>
        </w:rPr>
        <w:t xml:space="preserve">greater degree of difficulty </w:t>
      </w:r>
      <w:r w:rsidR="00561CD6" w:rsidRPr="00877C76">
        <w:rPr>
          <w:rFonts w:ascii="TimesNewRoman" w:eastAsiaTheme="minorHAnsi" w:hAnsi="TimesNewRoman" w:cs="TimesNewRoman"/>
        </w:rPr>
        <w:t>for the</w:t>
      </w:r>
      <w:r w:rsidRPr="00877C76">
        <w:rPr>
          <w:rFonts w:ascii="TimesNewRoman" w:eastAsiaTheme="minorHAnsi" w:hAnsi="TimesNewRoman" w:cs="TimesNewRoman"/>
        </w:rPr>
        <w:t xml:space="preserve"> implementation </w:t>
      </w:r>
      <w:r w:rsidR="00561CD6" w:rsidRPr="00877C76">
        <w:rPr>
          <w:rFonts w:ascii="TimesNewRoman" w:eastAsiaTheme="minorHAnsi" w:hAnsi="TimesNewRoman" w:cs="TimesNewRoman"/>
        </w:rPr>
        <w:t>of</w:t>
      </w:r>
      <w:r w:rsidRPr="00877C76">
        <w:rPr>
          <w:rFonts w:ascii="TimesNewRoman" w:eastAsiaTheme="minorHAnsi" w:hAnsi="TimesNewRoman" w:cs="TimesNewRoman"/>
        </w:rPr>
        <w:t xml:space="preserve"> Alternative</w:t>
      </w:r>
      <w:r w:rsidR="00561CD6" w:rsidRPr="00877C76">
        <w:rPr>
          <w:rFonts w:ascii="TimesNewRoman" w:eastAsiaTheme="minorHAnsi" w:hAnsi="TimesNewRoman" w:cs="TimesNewRoman"/>
        </w:rPr>
        <w:t>s 3, 4 and</w:t>
      </w:r>
      <w:r w:rsidRPr="00877C76">
        <w:rPr>
          <w:rFonts w:ascii="TimesNewRoman" w:eastAsiaTheme="minorHAnsi" w:hAnsi="TimesNewRoman" w:cs="TimesNewRoman"/>
        </w:rPr>
        <w:t xml:space="preserve"> </w:t>
      </w:r>
      <w:r w:rsidR="009836DA" w:rsidRPr="00877C76">
        <w:rPr>
          <w:rFonts w:ascii="TimesNewRoman" w:eastAsiaTheme="minorHAnsi" w:hAnsi="TimesNewRoman" w:cs="TimesNewRoman"/>
        </w:rPr>
        <w:t>5</w:t>
      </w:r>
      <w:r w:rsidRPr="00877C76">
        <w:rPr>
          <w:rFonts w:ascii="TimesNewRoman" w:eastAsiaTheme="minorHAnsi" w:hAnsi="TimesNewRoman" w:cs="TimesNewRoman"/>
        </w:rPr>
        <w:t xml:space="preserve"> </w:t>
      </w:r>
      <w:r w:rsidR="009836DA" w:rsidRPr="00877C76">
        <w:rPr>
          <w:rFonts w:ascii="TimesNewRoman" w:eastAsiaTheme="minorHAnsi" w:hAnsi="TimesNewRoman" w:cs="TimesNewRoman"/>
        </w:rPr>
        <w:t>as</w:t>
      </w:r>
      <w:r w:rsidRPr="00877C76">
        <w:rPr>
          <w:rFonts w:ascii="TimesNewRoman" w:eastAsiaTheme="minorHAnsi" w:hAnsi="TimesNewRoman" w:cs="TimesNewRoman"/>
        </w:rPr>
        <w:t xml:space="preserve"> </w:t>
      </w:r>
      <w:r w:rsidR="00561CD6" w:rsidRPr="00877C76">
        <w:rPr>
          <w:rFonts w:ascii="TimesNewRoman" w:eastAsiaTheme="minorHAnsi" w:hAnsi="TimesNewRoman" w:cs="TimesNewRoman"/>
        </w:rPr>
        <w:t xml:space="preserve">gaining </w:t>
      </w:r>
      <w:r w:rsidR="009836DA" w:rsidRPr="00877C76">
        <w:rPr>
          <w:rFonts w:ascii="TimesNewRoman" w:eastAsiaTheme="minorHAnsi" w:hAnsi="TimesNewRoman" w:cs="TimesNewRoman"/>
        </w:rPr>
        <w:t>access to</w:t>
      </w:r>
      <w:r w:rsidR="002252A3" w:rsidRPr="00877C76">
        <w:rPr>
          <w:rFonts w:ascii="TimesNewRoman" w:eastAsiaTheme="minorHAnsi" w:hAnsi="TimesNewRoman" w:cs="TimesNewRoman"/>
        </w:rPr>
        <w:t xml:space="preserve"> </w:t>
      </w:r>
      <w:r w:rsidR="001D5A11">
        <w:rPr>
          <w:rFonts w:ascii="TimesNewRoman" w:eastAsiaTheme="minorHAnsi" w:hAnsi="TimesNewRoman" w:cs="TimesNewRoman"/>
        </w:rPr>
        <w:t>multiple</w:t>
      </w:r>
      <w:r w:rsidRPr="00877C76">
        <w:rPr>
          <w:rFonts w:ascii="TimesNewRoman" w:eastAsiaTheme="minorHAnsi" w:hAnsi="TimesNewRoman" w:cs="TimesNewRoman"/>
        </w:rPr>
        <w:t xml:space="preserve"> </w:t>
      </w:r>
      <w:r w:rsidR="009836DA" w:rsidRPr="00877C76">
        <w:rPr>
          <w:rFonts w:ascii="TimesNewRoman" w:eastAsiaTheme="minorHAnsi" w:hAnsi="TimesNewRoman" w:cs="TimesNewRoman"/>
        </w:rPr>
        <w:t xml:space="preserve">off-site properties </w:t>
      </w:r>
      <w:r w:rsidR="00561CD6" w:rsidRPr="00877C76">
        <w:rPr>
          <w:rFonts w:ascii="TimesNewRoman" w:eastAsiaTheme="minorHAnsi" w:hAnsi="TimesNewRoman" w:cs="TimesNewRoman"/>
        </w:rPr>
        <w:t>(</w:t>
      </w:r>
      <w:r w:rsidR="003C33EE" w:rsidRPr="00877C76">
        <w:rPr>
          <w:rFonts w:ascii="TimesNewRoman" w:eastAsiaTheme="minorHAnsi" w:hAnsi="TimesNewRoman" w:cs="TimesNewRoman"/>
        </w:rPr>
        <w:t>including park land</w:t>
      </w:r>
      <w:r w:rsidR="00561CD6" w:rsidRPr="00877C76">
        <w:rPr>
          <w:rFonts w:ascii="TimesNewRoman" w:eastAsiaTheme="minorHAnsi" w:hAnsi="TimesNewRoman" w:cs="TimesNewRoman"/>
        </w:rPr>
        <w:t>)</w:t>
      </w:r>
      <w:r w:rsidR="003C33EE" w:rsidRPr="00877C76">
        <w:rPr>
          <w:rFonts w:ascii="TimesNewRoman" w:eastAsiaTheme="minorHAnsi" w:hAnsi="TimesNewRoman" w:cs="TimesNewRoman"/>
        </w:rPr>
        <w:t xml:space="preserve"> </w:t>
      </w:r>
      <w:r w:rsidR="001D5A11">
        <w:rPr>
          <w:rFonts w:ascii="TimesNewRoman" w:eastAsiaTheme="minorHAnsi" w:hAnsi="TimesNewRoman" w:cs="TimesNewRoman"/>
        </w:rPr>
        <w:t>would be required</w:t>
      </w:r>
      <w:r w:rsidR="006D160F" w:rsidRPr="00877C76">
        <w:rPr>
          <w:rFonts w:ascii="TimesNewRoman" w:eastAsiaTheme="minorHAnsi" w:hAnsi="TimesNewRoman" w:cs="TimesNewRoman"/>
        </w:rPr>
        <w:t xml:space="preserve"> for </w:t>
      </w:r>
      <w:r w:rsidR="009836DA" w:rsidRPr="00877C76">
        <w:rPr>
          <w:rFonts w:ascii="TimesNewRoman" w:eastAsiaTheme="minorHAnsi" w:hAnsi="TimesNewRoman" w:cs="TimesNewRoman"/>
        </w:rPr>
        <w:t xml:space="preserve">the </w:t>
      </w:r>
      <w:r w:rsidR="00561CD6" w:rsidRPr="00877C76">
        <w:rPr>
          <w:rFonts w:ascii="TimesNewRoman" w:eastAsiaTheme="minorHAnsi" w:hAnsi="TimesNewRoman" w:cs="TimesNewRoman"/>
        </w:rPr>
        <w:t>construction of the wells, treatment systems and pipelines associated with these alternatives</w:t>
      </w:r>
      <w:r w:rsidR="001D5A11">
        <w:rPr>
          <w:rFonts w:ascii="TimesNewRoman" w:eastAsiaTheme="minorHAnsi" w:hAnsi="TimesNewRoman" w:cs="TimesNewRoman"/>
        </w:rPr>
        <w:t>. This</w:t>
      </w:r>
      <w:r w:rsidR="00561CD6" w:rsidRPr="00877C76">
        <w:rPr>
          <w:rFonts w:ascii="TimesNewRoman" w:eastAsiaTheme="minorHAnsi" w:hAnsi="TimesNewRoman" w:cs="TimesNewRoman"/>
        </w:rPr>
        <w:t xml:space="preserve"> will require negotiation with several parties</w:t>
      </w:r>
      <w:r w:rsidR="009836DA" w:rsidRPr="00877C76">
        <w:rPr>
          <w:rFonts w:ascii="TimesNewRoman" w:eastAsiaTheme="minorHAnsi" w:hAnsi="TimesNewRoman" w:cs="TimesNewRoman"/>
        </w:rPr>
        <w:t>.</w:t>
      </w:r>
      <w:r w:rsidRPr="00877C76">
        <w:rPr>
          <w:rFonts w:ascii="TimesNewRoman" w:eastAsiaTheme="minorHAnsi" w:hAnsi="TimesNewRoman" w:cs="TimesNewRoman"/>
        </w:rPr>
        <w:t xml:space="preserve"> All </w:t>
      </w:r>
      <w:r w:rsidR="006D160F" w:rsidRPr="00877C76">
        <w:rPr>
          <w:rFonts w:ascii="TimesNewRoman" w:eastAsiaTheme="minorHAnsi" w:hAnsi="TimesNewRoman" w:cs="TimesNewRoman"/>
        </w:rPr>
        <w:t xml:space="preserve">of </w:t>
      </w:r>
      <w:r w:rsidRPr="00877C76">
        <w:rPr>
          <w:rFonts w:ascii="TimesNewRoman" w:eastAsiaTheme="minorHAnsi" w:hAnsi="TimesNewRoman" w:cs="TimesNewRoman"/>
        </w:rPr>
        <w:t>this would be occurring within highly developed residential/</w:t>
      </w:r>
      <w:r w:rsidR="0094634A" w:rsidRPr="00877C76">
        <w:rPr>
          <w:rFonts w:ascii="TimesNewRoman" w:eastAsiaTheme="minorHAnsi" w:hAnsi="TimesNewRoman" w:cs="TimesNewRoman"/>
        </w:rPr>
        <w:t>commercial areas</w:t>
      </w:r>
      <w:r w:rsidRPr="00877C76">
        <w:rPr>
          <w:rFonts w:ascii="TimesNewRoman" w:eastAsiaTheme="minorHAnsi" w:hAnsi="TimesNewRoman" w:cs="TimesNewRoman"/>
        </w:rPr>
        <w:t xml:space="preserve">. Alternative 4 would have </w:t>
      </w:r>
      <w:r w:rsidR="002252A3" w:rsidRPr="00877C76">
        <w:rPr>
          <w:rFonts w:ascii="TimesNewRoman" w:eastAsiaTheme="minorHAnsi" w:hAnsi="TimesNewRoman" w:cs="TimesNewRoman"/>
        </w:rPr>
        <w:t xml:space="preserve">a </w:t>
      </w:r>
      <w:r w:rsidR="00561CD6" w:rsidRPr="00877C76">
        <w:rPr>
          <w:rFonts w:ascii="TimesNewRoman" w:eastAsiaTheme="minorHAnsi" w:hAnsi="TimesNewRoman" w:cs="TimesNewRoman"/>
        </w:rPr>
        <w:t xml:space="preserve">somewhat </w:t>
      </w:r>
      <w:r w:rsidRPr="00877C76">
        <w:rPr>
          <w:rFonts w:ascii="TimesNewRoman" w:eastAsiaTheme="minorHAnsi" w:hAnsi="TimesNewRoman" w:cs="TimesNewRoman"/>
        </w:rPr>
        <w:t xml:space="preserve">lesser degree of difficulty </w:t>
      </w:r>
      <w:r w:rsidR="001D5A11">
        <w:rPr>
          <w:rFonts w:ascii="TimesNewRoman" w:eastAsiaTheme="minorHAnsi" w:hAnsi="TimesNewRoman" w:cs="TimesNewRoman"/>
        </w:rPr>
        <w:t>relative to</w:t>
      </w:r>
      <w:r w:rsidRPr="00877C76">
        <w:rPr>
          <w:rFonts w:ascii="TimesNewRoman" w:eastAsiaTheme="minorHAnsi" w:hAnsi="TimesNewRoman" w:cs="TimesNewRoman"/>
        </w:rPr>
        <w:t xml:space="preserve"> implementation</w:t>
      </w:r>
      <w:r w:rsidR="001D5A11">
        <w:rPr>
          <w:rFonts w:ascii="TimesNewRoman" w:eastAsiaTheme="minorHAnsi" w:hAnsi="TimesNewRoman" w:cs="TimesNewRoman"/>
        </w:rPr>
        <w:t>,</w:t>
      </w:r>
      <w:r w:rsidR="001418C5" w:rsidRPr="00877C76">
        <w:rPr>
          <w:rFonts w:ascii="TimesNewRoman" w:eastAsiaTheme="minorHAnsi" w:hAnsi="TimesNewRoman" w:cs="TimesNewRoman"/>
        </w:rPr>
        <w:t xml:space="preserve"> than Alternative 5</w:t>
      </w:r>
      <w:r w:rsidR="001D5A11">
        <w:rPr>
          <w:rFonts w:ascii="TimesNewRoman" w:eastAsiaTheme="minorHAnsi" w:hAnsi="TimesNewRoman" w:cs="TimesNewRoman"/>
        </w:rPr>
        <w:t>.</w:t>
      </w:r>
      <w:r w:rsidR="001418C5" w:rsidRPr="00877C76">
        <w:rPr>
          <w:rFonts w:ascii="TimesNewRoman" w:eastAsiaTheme="minorHAnsi" w:hAnsi="TimesNewRoman" w:cs="TimesNewRoman"/>
        </w:rPr>
        <w:t xml:space="preserve"> </w:t>
      </w:r>
      <w:r w:rsidRPr="00877C76">
        <w:rPr>
          <w:rFonts w:ascii="TimesNewRoman" w:eastAsiaTheme="minorHAnsi" w:hAnsi="TimesNewRoman" w:cs="TimesNewRoman"/>
        </w:rPr>
        <w:t>Alternative</w:t>
      </w:r>
      <w:r w:rsidR="0094634A" w:rsidRPr="00877C76">
        <w:rPr>
          <w:rFonts w:ascii="TimesNewRoman" w:eastAsiaTheme="minorHAnsi" w:hAnsi="TimesNewRoman" w:cs="TimesNewRoman"/>
        </w:rPr>
        <w:t xml:space="preserve"> </w:t>
      </w:r>
      <w:r w:rsidR="009836DA" w:rsidRPr="00877C76">
        <w:rPr>
          <w:rFonts w:ascii="TimesNewRoman" w:eastAsiaTheme="minorHAnsi" w:hAnsi="TimesNewRoman" w:cs="TimesNewRoman"/>
        </w:rPr>
        <w:t>3</w:t>
      </w:r>
      <w:r w:rsidR="0094634A" w:rsidRPr="00877C76">
        <w:rPr>
          <w:rFonts w:ascii="TimesNewRoman" w:eastAsiaTheme="minorHAnsi" w:hAnsi="TimesNewRoman" w:cs="TimesNewRoman"/>
        </w:rPr>
        <w:t xml:space="preserve"> would have </w:t>
      </w:r>
      <w:r w:rsidR="006D160F" w:rsidRPr="00877C76">
        <w:rPr>
          <w:rFonts w:ascii="TimesNewRoman" w:eastAsiaTheme="minorHAnsi" w:hAnsi="TimesNewRoman" w:cs="TimesNewRoman"/>
        </w:rPr>
        <w:t xml:space="preserve">a </w:t>
      </w:r>
      <w:r w:rsidR="0094634A" w:rsidRPr="00877C76">
        <w:rPr>
          <w:rFonts w:ascii="TimesNewRoman" w:eastAsiaTheme="minorHAnsi" w:hAnsi="TimesNewRoman" w:cs="TimesNewRoman"/>
        </w:rPr>
        <w:t xml:space="preserve">lesser degree of </w:t>
      </w:r>
      <w:r w:rsidRPr="00877C76">
        <w:rPr>
          <w:rFonts w:ascii="TimesNewRoman" w:eastAsiaTheme="minorHAnsi" w:hAnsi="TimesNewRoman" w:cs="TimesNewRoman"/>
        </w:rPr>
        <w:t xml:space="preserve">difficulty than Alternatives </w:t>
      </w:r>
      <w:r w:rsidR="001D5A11">
        <w:rPr>
          <w:rFonts w:ascii="TimesNewRoman" w:eastAsiaTheme="minorHAnsi" w:hAnsi="TimesNewRoman" w:cs="TimesNewRoman"/>
        </w:rPr>
        <w:t xml:space="preserve">4 and </w:t>
      </w:r>
      <w:r w:rsidR="009836DA" w:rsidRPr="00877C76">
        <w:rPr>
          <w:rFonts w:ascii="TimesNewRoman" w:eastAsiaTheme="minorHAnsi" w:hAnsi="TimesNewRoman" w:cs="TimesNewRoman"/>
        </w:rPr>
        <w:t>5</w:t>
      </w:r>
      <w:r w:rsidRPr="00877C76">
        <w:rPr>
          <w:rFonts w:ascii="TimesNewRoman" w:eastAsiaTheme="minorHAnsi" w:hAnsi="TimesNewRoman" w:cs="TimesNewRoman"/>
        </w:rPr>
        <w:t>.</w:t>
      </w:r>
      <w:r w:rsidR="00980A29" w:rsidRPr="00877C76">
        <w:rPr>
          <w:rFonts w:ascii="TimesNewRoman" w:eastAsiaTheme="minorHAnsi" w:hAnsi="TimesNewRoman" w:cs="TimesNewRoman"/>
        </w:rPr>
        <w:t xml:space="preserve"> </w:t>
      </w:r>
      <w:r w:rsidR="009F32D9" w:rsidRPr="00877C76">
        <w:rPr>
          <w:rFonts w:ascii="TimesNewRoman" w:eastAsiaTheme="minorHAnsi" w:hAnsi="TimesNewRoman" w:cs="TimesNewRoman"/>
        </w:rPr>
        <w:t xml:space="preserve">The </w:t>
      </w:r>
      <w:r w:rsidR="001418C5" w:rsidRPr="00877C76">
        <w:rPr>
          <w:rFonts w:ascii="TimesNewRoman" w:eastAsiaTheme="minorHAnsi" w:hAnsi="TimesNewRoman" w:cs="TimesNewRoman"/>
        </w:rPr>
        <w:t>OU2 groundwater IRM is already implemented and operational.</w:t>
      </w:r>
      <w:r w:rsidR="003C33EE" w:rsidRPr="00877C76">
        <w:rPr>
          <w:rFonts w:ascii="TimesNewRoman" w:eastAsiaTheme="minorHAnsi" w:hAnsi="TimesNewRoman" w:cs="TimesNewRoman"/>
        </w:rPr>
        <w:t xml:space="preserve"> </w:t>
      </w:r>
      <w:r w:rsidR="003C33EE" w:rsidRPr="00877C76">
        <w:t>No impediments exist to implement Alternative 2. It could begin as soon as the ROD is issued.</w:t>
      </w:r>
      <w:r w:rsidR="00561CD6" w:rsidRPr="00877C76">
        <w:t xml:space="preserve"> </w:t>
      </w:r>
    </w:p>
    <w:p w:rsidR="003C33EE" w:rsidRPr="00877C76" w:rsidRDefault="003C33EE" w:rsidP="003C33EE"/>
    <w:p w:rsidR="006C6A58" w:rsidRPr="00877C76" w:rsidRDefault="006C6A58" w:rsidP="00247138">
      <w:pPr>
        <w:jc w:val="both"/>
      </w:pPr>
      <w:r w:rsidRPr="00877C76">
        <w:t xml:space="preserve">7.  </w:t>
      </w:r>
      <w:r w:rsidRPr="00877C76">
        <w:rPr>
          <w:u w:val="single"/>
        </w:rPr>
        <w:t>Cost-Effectiveness.</w:t>
      </w:r>
      <w:r w:rsidRPr="00877C76">
        <w:t xml:space="preserve">  Capital costs and annual operation, maintenance, and monitoring costs are estimated for each alternative and compared on a present worth basis. Although cost-effectiveness is the last balancing criterion evaluated, where two or more alternatives have met the requirements of the other criteria, it can be used as the basis for the final decision.</w:t>
      </w:r>
    </w:p>
    <w:p w:rsidR="00E55770" w:rsidRPr="00877C76" w:rsidRDefault="00E55770" w:rsidP="00247138">
      <w:pPr>
        <w:jc w:val="both"/>
      </w:pPr>
    </w:p>
    <w:p w:rsidR="00E55770" w:rsidRPr="00877C76" w:rsidRDefault="00E55770" w:rsidP="00247138">
      <w:pPr>
        <w:widowControl/>
        <w:jc w:val="both"/>
        <w:rPr>
          <w:rFonts w:eastAsiaTheme="minorHAnsi"/>
        </w:rPr>
      </w:pPr>
      <w:r w:rsidRPr="00877C76">
        <w:rPr>
          <w:rFonts w:eastAsiaTheme="minorHAnsi"/>
        </w:rPr>
        <w:t xml:space="preserve">The </w:t>
      </w:r>
      <w:r w:rsidR="009E0FB1" w:rsidRPr="00877C76">
        <w:rPr>
          <w:rFonts w:eastAsiaTheme="minorHAnsi"/>
        </w:rPr>
        <w:t xml:space="preserve">estimated </w:t>
      </w:r>
      <w:r w:rsidR="00AC75A1" w:rsidRPr="00877C76">
        <w:rPr>
          <w:rFonts w:eastAsiaTheme="minorHAnsi"/>
        </w:rPr>
        <w:t xml:space="preserve">total </w:t>
      </w:r>
      <w:r w:rsidRPr="00877C76">
        <w:rPr>
          <w:rFonts w:eastAsiaTheme="minorHAnsi"/>
        </w:rPr>
        <w:t xml:space="preserve">present </w:t>
      </w:r>
      <w:r w:rsidR="00AC75A1" w:rsidRPr="00877C76">
        <w:rPr>
          <w:rFonts w:eastAsiaTheme="minorHAnsi"/>
        </w:rPr>
        <w:t xml:space="preserve">worth </w:t>
      </w:r>
      <w:r w:rsidRPr="00877C76">
        <w:rPr>
          <w:rFonts w:eastAsiaTheme="minorHAnsi"/>
        </w:rPr>
        <w:t>for the f</w:t>
      </w:r>
      <w:r w:rsidR="00CA1369" w:rsidRPr="00877C76">
        <w:rPr>
          <w:rFonts w:eastAsiaTheme="minorHAnsi"/>
        </w:rPr>
        <w:t>our</w:t>
      </w:r>
      <w:r w:rsidRPr="00877C76">
        <w:rPr>
          <w:rFonts w:eastAsiaTheme="minorHAnsi"/>
        </w:rPr>
        <w:t xml:space="preserve"> alternatives </w:t>
      </w:r>
      <w:r w:rsidR="00CA1369" w:rsidRPr="00877C76">
        <w:rPr>
          <w:rFonts w:eastAsiaTheme="minorHAnsi"/>
        </w:rPr>
        <w:t>under consideration ranged from $32 to $97M</w:t>
      </w:r>
      <w:r w:rsidR="001D5A11">
        <w:rPr>
          <w:rFonts w:eastAsiaTheme="minorHAnsi"/>
        </w:rPr>
        <w:t>. F</w:t>
      </w:r>
      <w:r w:rsidRPr="00877C76">
        <w:rPr>
          <w:rFonts w:eastAsiaTheme="minorHAnsi"/>
        </w:rPr>
        <w:t xml:space="preserve">rom </w:t>
      </w:r>
      <w:r w:rsidR="00AC75A1" w:rsidRPr="00877C76">
        <w:rPr>
          <w:rFonts w:eastAsiaTheme="minorHAnsi"/>
        </w:rPr>
        <w:t xml:space="preserve">the </w:t>
      </w:r>
      <w:r w:rsidRPr="00877C76">
        <w:rPr>
          <w:rFonts w:eastAsiaTheme="minorHAnsi"/>
        </w:rPr>
        <w:t xml:space="preserve">least </w:t>
      </w:r>
      <w:r w:rsidR="009E0FB1" w:rsidRPr="00877C76">
        <w:rPr>
          <w:rFonts w:eastAsiaTheme="minorHAnsi"/>
        </w:rPr>
        <w:t xml:space="preserve">expensive </w:t>
      </w:r>
      <w:r w:rsidRPr="00877C76">
        <w:rPr>
          <w:rFonts w:eastAsiaTheme="minorHAnsi"/>
        </w:rPr>
        <w:t xml:space="preserve">to </w:t>
      </w:r>
      <w:r w:rsidR="00AC75A1" w:rsidRPr="00877C76">
        <w:rPr>
          <w:rFonts w:eastAsiaTheme="minorHAnsi"/>
        </w:rPr>
        <w:t xml:space="preserve">the </w:t>
      </w:r>
      <w:r w:rsidRPr="00877C76">
        <w:rPr>
          <w:rFonts w:eastAsiaTheme="minorHAnsi"/>
        </w:rPr>
        <w:t xml:space="preserve">most expensive </w:t>
      </w:r>
      <w:r w:rsidR="00CA1369" w:rsidRPr="00877C76">
        <w:rPr>
          <w:rFonts w:eastAsiaTheme="minorHAnsi"/>
        </w:rPr>
        <w:t xml:space="preserve">they </w:t>
      </w:r>
      <w:r w:rsidRPr="00877C76">
        <w:rPr>
          <w:rFonts w:eastAsiaTheme="minorHAnsi"/>
        </w:rPr>
        <w:t xml:space="preserve">are </w:t>
      </w:r>
      <w:r w:rsidR="0094634A" w:rsidRPr="00877C76">
        <w:rPr>
          <w:rFonts w:eastAsiaTheme="minorHAnsi"/>
        </w:rPr>
        <w:t xml:space="preserve">Alternative 2, Alternative </w:t>
      </w:r>
      <w:r w:rsidR="002C435A" w:rsidRPr="00877C76">
        <w:rPr>
          <w:rFonts w:eastAsiaTheme="minorHAnsi"/>
        </w:rPr>
        <w:t>3</w:t>
      </w:r>
      <w:r w:rsidR="0094634A" w:rsidRPr="00877C76">
        <w:rPr>
          <w:rFonts w:eastAsiaTheme="minorHAnsi"/>
        </w:rPr>
        <w:t xml:space="preserve">, Alternative 4 and Alternative </w:t>
      </w:r>
      <w:r w:rsidR="002C435A" w:rsidRPr="00877C76">
        <w:rPr>
          <w:rFonts w:eastAsiaTheme="minorHAnsi"/>
        </w:rPr>
        <w:t>5</w:t>
      </w:r>
      <w:r w:rsidR="0094634A" w:rsidRPr="00877C76">
        <w:rPr>
          <w:rFonts w:eastAsiaTheme="minorHAnsi"/>
        </w:rPr>
        <w:t xml:space="preserve">.  </w:t>
      </w:r>
      <w:r w:rsidR="00CA1369" w:rsidRPr="00877C76">
        <w:rPr>
          <w:rFonts w:eastAsiaTheme="minorHAnsi"/>
        </w:rPr>
        <w:t>While Alternatives 3</w:t>
      </w:r>
      <w:r w:rsidR="001D5A11">
        <w:rPr>
          <w:rFonts w:eastAsiaTheme="minorHAnsi"/>
        </w:rPr>
        <w:t xml:space="preserve"> through </w:t>
      </w:r>
      <w:r w:rsidR="00CA1369" w:rsidRPr="00877C76">
        <w:rPr>
          <w:rFonts w:eastAsiaTheme="minorHAnsi"/>
        </w:rPr>
        <w:t>5 would result in some increase in environmental protection</w:t>
      </w:r>
      <w:r w:rsidR="001D5A11">
        <w:rPr>
          <w:rFonts w:eastAsiaTheme="minorHAnsi"/>
        </w:rPr>
        <w:t>;</w:t>
      </w:r>
      <w:r w:rsidR="00CA1369" w:rsidRPr="00877C76">
        <w:rPr>
          <w:rFonts w:eastAsiaTheme="minorHAnsi"/>
        </w:rPr>
        <w:t xml:space="preserve"> </w:t>
      </w:r>
      <w:r w:rsidR="001D5A11">
        <w:rPr>
          <w:rFonts w:eastAsiaTheme="minorHAnsi"/>
        </w:rPr>
        <w:t xml:space="preserve">and </w:t>
      </w:r>
      <w:r w:rsidR="00CA1369" w:rsidRPr="00877C76">
        <w:rPr>
          <w:rFonts w:eastAsiaTheme="minorHAnsi"/>
        </w:rPr>
        <w:t>reduction in toxicity, mobi</w:t>
      </w:r>
      <w:r w:rsidR="001D5A11">
        <w:rPr>
          <w:rFonts w:eastAsiaTheme="minorHAnsi"/>
        </w:rPr>
        <w:t>lity and volume</w:t>
      </w:r>
      <w:r w:rsidR="00CA1369" w:rsidRPr="00877C76">
        <w:rPr>
          <w:rFonts w:eastAsiaTheme="minorHAnsi"/>
        </w:rPr>
        <w:t xml:space="preserve"> by limiting expansion of the plume, they would all result in comparable degrees of protection of public health a</w:t>
      </w:r>
      <w:r w:rsidR="001D5A11">
        <w:rPr>
          <w:rFonts w:eastAsiaTheme="minorHAnsi"/>
        </w:rPr>
        <w:t>s all would have relied on well</w:t>
      </w:r>
      <w:r w:rsidR="00CA1369" w:rsidRPr="00877C76">
        <w:rPr>
          <w:rFonts w:eastAsiaTheme="minorHAnsi"/>
        </w:rPr>
        <w:t>head protection. Long</w:t>
      </w:r>
      <w:r w:rsidR="009F5D27" w:rsidRPr="00877C76">
        <w:rPr>
          <w:rFonts w:eastAsiaTheme="minorHAnsi"/>
        </w:rPr>
        <w:t>-</w:t>
      </w:r>
      <w:r w:rsidR="00CA1369" w:rsidRPr="00877C76">
        <w:rPr>
          <w:rFonts w:eastAsiaTheme="minorHAnsi"/>
        </w:rPr>
        <w:t xml:space="preserve">term effectiveness also would be marginally more effective </w:t>
      </w:r>
      <w:r w:rsidR="001D5A11">
        <w:rPr>
          <w:rFonts w:eastAsiaTheme="minorHAnsi"/>
        </w:rPr>
        <w:t>under</w:t>
      </w:r>
      <w:r w:rsidR="00CA1369" w:rsidRPr="00877C76">
        <w:rPr>
          <w:rFonts w:eastAsiaTheme="minorHAnsi"/>
        </w:rPr>
        <w:t xml:space="preserve"> Alterna</w:t>
      </w:r>
      <w:r w:rsidR="00F026C5" w:rsidRPr="00877C76">
        <w:rPr>
          <w:rFonts w:eastAsiaTheme="minorHAnsi"/>
        </w:rPr>
        <w:t>t</w:t>
      </w:r>
      <w:r w:rsidR="00CA1369" w:rsidRPr="00877C76">
        <w:rPr>
          <w:rFonts w:eastAsiaTheme="minorHAnsi"/>
        </w:rPr>
        <w:t>ives 5</w:t>
      </w:r>
      <w:r w:rsidR="001D5A11">
        <w:rPr>
          <w:rFonts w:eastAsiaTheme="minorHAnsi"/>
        </w:rPr>
        <w:t xml:space="preserve">, </w:t>
      </w:r>
      <w:r w:rsidR="00CA1369" w:rsidRPr="00877C76">
        <w:rPr>
          <w:rFonts w:eastAsiaTheme="minorHAnsi"/>
        </w:rPr>
        <w:t>4 and 3</w:t>
      </w:r>
      <w:r w:rsidR="009F5D27" w:rsidRPr="00877C76">
        <w:rPr>
          <w:rFonts w:eastAsiaTheme="minorHAnsi"/>
        </w:rPr>
        <w:t>,</w:t>
      </w:r>
      <w:r w:rsidR="00CA1369" w:rsidRPr="00877C76">
        <w:rPr>
          <w:rFonts w:eastAsiaTheme="minorHAnsi"/>
        </w:rPr>
        <w:t xml:space="preserve"> respectively than Alternative 2</w:t>
      </w:r>
      <w:r w:rsidR="00A66CAB">
        <w:rPr>
          <w:rFonts w:eastAsiaTheme="minorHAnsi"/>
        </w:rPr>
        <w:t xml:space="preserve">, though </w:t>
      </w:r>
      <w:r w:rsidR="00CA1369" w:rsidRPr="00877C76">
        <w:rPr>
          <w:rFonts w:eastAsiaTheme="minorHAnsi"/>
        </w:rPr>
        <w:t>all would require wellhead protection for at least 20 years. Short</w:t>
      </w:r>
      <w:r w:rsidR="009F5D27" w:rsidRPr="00877C76">
        <w:rPr>
          <w:rFonts w:eastAsiaTheme="minorHAnsi"/>
        </w:rPr>
        <w:t>-</w:t>
      </w:r>
      <w:r w:rsidR="00CA1369" w:rsidRPr="00877C76">
        <w:rPr>
          <w:rFonts w:eastAsiaTheme="minorHAnsi"/>
        </w:rPr>
        <w:t>term impacts would be insignificant for Alternative 2, as would issues that could affect the implementability of this alternative, since it could proceed as soon as the ROD is issued. However</w:t>
      </w:r>
      <w:r w:rsidR="009F5D27" w:rsidRPr="00877C76">
        <w:rPr>
          <w:rFonts w:eastAsiaTheme="minorHAnsi"/>
        </w:rPr>
        <w:t>,</w:t>
      </w:r>
      <w:r w:rsidR="00CA1369" w:rsidRPr="00877C76">
        <w:rPr>
          <w:rFonts w:eastAsiaTheme="minorHAnsi"/>
        </w:rPr>
        <w:t xml:space="preserve"> for Alternatives 3</w:t>
      </w:r>
      <w:r w:rsidR="00A66CAB">
        <w:rPr>
          <w:rFonts w:eastAsiaTheme="minorHAnsi"/>
        </w:rPr>
        <w:t xml:space="preserve"> through </w:t>
      </w:r>
      <w:r w:rsidR="00CA1369" w:rsidRPr="00877C76">
        <w:rPr>
          <w:rFonts w:eastAsiaTheme="minorHAnsi"/>
        </w:rPr>
        <w:t>5</w:t>
      </w:r>
      <w:r w:rsidR="00A66CAB">
        <w:rPr>
          <w:rFonts w:eastAsiaTheme="minorHAnsi"/>
        </w:rPr>
        <w:t>,</w:t>
      </w:r>
      <w:r w:rsidR="00CA1369" w:rsidRPr="00877C76">
        <w:rPr>
          <w:rFonts w:eastAsiaTheme="minorHAnsi"/>
        </w:rPr>
        <w:t xml:space="preserve"> significant nuisance short</w:t>
      </w:r>
      <w:r w:rsidR="00007DAA" w:rsidRPr="00877C76">
        <w:rPr>
          <w:rFonts w:eastAsiaTheme="minorHAnsi"/>
        </w:rPr>
        <w:t>-</w:t>
      </w:r>
      <w:r w:rsidR="00CA1369" w:rsidRPr="00877C76">
        <w:rPr>
          <w:rFonts w:eastAsiaTheme="minorHAnsi"/>
        </w:rPr>
        <w:t>term impacts to the community resulting from</w:t>
      </w:r>
      <w:r w:rsidR="00CA1369" w:rsidRPr="00877C76">
        <w:rPr>
          <w:rFonts w:ascii="TimesNewRoman" w:eastAsiaTheme="minorHAnsi" w:hAnsi="TimesNewRoman" w:cs="TimesNewRoman"/>
        </w:rPr>
        <w:t xml:space="preserve"> construction related noise, dust, traffic and road closures are likely. </w:t>
      </w:r>
      <w:r w:rsidR="00A66CAB">
        <w:rPr>
          <w:rFonts w:ascii="TimesNewRoman" w:eastAsiaTheme="minorHAnsi" w:hAnsi="TimesNewRoman" w:cs="TimesNewRoman"/>
        </w:rPr>
        <w:t>Issues relative to the i</w:t>
      </w:r>
      <w:r w:rsidR="00CA1369" w:rsidRPr="00877C76">
        <w:rPr>
          <w:rFonts w:ascii="TimesNewRoman" w:eastAsiaTheme="minorHAnsi" w:hAnsi="TimesNewRoman" w:cs="TimesNewRoman"/>
        </w:rPr>
        <w:t>mplementability of Alternatives 3</w:t>
      </w:r>
      <w:r w:rsidR="00A66CAB">
        <w:rPr>
          <w:rFonts w:ascii="TimesNewRoman" w:eastAsiaTheme="minorHAnsi" w:hAnsi="TimesNewRoman" w:cs="TimesNewRoman"/>
        </w:rPr>
        <w:t xml:space="preserve"> through </w:t>
      </w:r>
      <w:r w:rsidR="00CA1369" w:rsidRPr="00877C76">
        <w:rPr>
          <w:rFonts w:ascii="TimesNewRoman" w:eastAsiaTheme="minorHAnsi" w:hAnsi="TimesNewRoman" w:cs="TimesNewRoman"/>
        </w:rPr>
        <w:t>5 would be significant</w:t>
      </w:r>
      <w:r w:rsidR="00A66CAB">
        <w:rPr>
          <w:rFonts w:ascii="TimesNewRoman" w:eastAsiaTheme="minorHAnsi" w:hAnsi="TimesNewRoman" w:cs="TimesNewRoman"/>
        </w:rPr>
        <w:t>,</w:t>
      </w:r>
      <w:r w:rsidR="00CA1369" w:rsidRPr="00877C76">
        <w:rPr>
          <w:rFonts w:ascii="TimesNewRoman" w:eastAsiaTheme="minorHAnsi" w:hAnsi="TimesNewRoman" w:cs="TimesNewRoman"/>
        </w:rPr>
        <w:t xml:space="preserve"> and experience with other such large project</w:t>
      </w:r>
      <w:r w:rsidR="00A66CAB">
        <w:rPr>
          <w:rFonts w:ascii="TimesNewRoman" w:eastAsiaTheme="minorHAnsi" w:hAnsi="TimesNewRoman" w:cs="TimesNewRoman"/>
        </w:rPr>
        <w:t>s indicate these issues (</w:t>
      </w:r>
      <w:r w:rsidR="00CA1369" w:rsidRPr="00877C76">
        <w:rPr>
          <w:rFonts w:ascii="TimesNewRoman" w:eastAsiaTheme="minorHAnsi" w:hAnsi="TimesNewRoman" w:cs="TimesNewRoman"/>
        </w:rPr>
        <w:t>notably</w:t>
      </w:r>
      <w:r w:rsidR="00A66CAB">
        <w:rPr>
          <w:rFonts w:ascii="TimesNewRoman" w:eastAsiaTheme="minorHAnsi" w:hAnsi="TimesNewRoman" w:cs="TimesNewRoman"/>
        </w:rPr>
        <w:t xml:space="preserve"> access</w:t>
      </w:r>
      <w:r w:rsidR="00CA1369" w:rsidRPr="00877C76">
        <w:rPr>
          <w:rFonts w:ascii="TimesNewRoman" w:eastAsiaTheme="minorHAnsi" w:hAnsi="TimesNewRoman" w:cs="TimesNewRoman"/>
        </w:rPr>
        <w:t>) could result in months to years of delay in the implementation of these alternatives.  Finally</w:t>
      </w:r>
      <w:r w:rsidR="009F5D27" w:rsidRPr="00877C76">
        <w:rPr>
          <w:rFonts w:ascii="TimesNewRoman" w:eastAsiaTheme="minorHAnsi" w:hAnsi="TimesNewRoman" w:cs="TimesNewRoman"/>
        </w:rPr>
        <w:t>,</w:t>
      </w:r>
      <w:r w:rsidR="00CA1369" w:rsidRPr="00877C76">
        <w:rPr>
          <w:rFonts w:ascii="TimesNewRoman" w:eastAsiaTheme="minorHAnsi" w:hAnsi="TimesNewRoman" w:cs="TimesNewRoman"/>
        </w:rPr>
        <w:t xml:space="preserve"> given the </w:t>
      </w:r>
      <w:r w:rsidR="00B56D90" w:rsidRPr="00877C76">
        <w:rPr>
          <w:rFonts w:ascii="TimesNewRoman" w:eastAsiaTheme="minorHAnsi" w:hAnsi="TimesNewRoman" w:cs="TimesNewRoman"/>
        </w:rPr>
        <w:t xml:space="preserve">incremental </w:t>
      </w:r>
      <w:r w:rsidR="00A66CAB">
        <w:rPr>
          <w:rFonts w:ascii="TimesNewRoman" w:eastAsiaTheme="minorHAnsi" w:hAnsi="TimesNewRoman" w:cs="TimesNewRoman"/>
        </w:rPr>
        <w:t xml:space="preserve">benefit to </w:t>
      </w:r>
      <w:r w:rsidR="00CA1369" w:rsidRPr="00877C76">
        <w:rPr>
          <w:rFonts w:ascii="TimesNewRoman" w:eastAsiaTheme="minorHAnsi" w:hAnsi="TimesNewRoman" w:cs="TimesNewRoman"/>
        </w:rPr>
        <w:t xml:space="preserve">environmental </w:t>
      </w:r>
      <w:r w:rsidR="00B56D90" w:rsidRPr="00877C76">
        <w:rPr>
          <w:rFonts w:ascii="TimesNewRoman" w:eastAsiaTheme="minorHAnsi" w:hAnsi="TimesNewRoman" w:cs="TimesNewRoman"/>
        </w:rPr>
        <w:t xml:space="preserve">protection, with comparable </w:t>
      </w:r>
      <w:r w:rsidR="00CA1369" w:rsidRPr="00877C76">
        <w:rPr>
          <w:rFonts w:ascii="TimesNewRoman" w:eastAsiaTheme="minorHAnsi" w:hAnsi="TimesNewRoman" w:cs="TimesNewRoman"/>
        </w:rPr>
        <w:t>public health protection afforded by Alternatives 3</w:t>
      </w:r>
      <w:r w:rsidR="00A66CAB">
        <w:rPr>
          <w:rFonts w:ascii="TimesNewRoman" w:eastAsiaTheme="minorHAnsi" w:hAnsi="TimesNewRoman" w:cs="TimesNewRoman"/>
        </w:rPr>
        <w:t xml:space="preserve"> through </w:t>
      </w:r>
      <w:r w:rsidR="00CA1369" w:rsidRPr="00877C76">
        <w:rPr>
          <w:rFonts w:ascii="TimesNewRoman" w:eastAsiaTheme="minorHAnsi" w:hAnsi="TimesNewRoman" w:cs="TimesNewRoman"/>
        </w:rPr>
        <w:t xml:space="preserve">5, </w:t>
      </w:r>
      <w:r w:rsidR="00CA1369" w:rsidRPr="00877C76">
        <w:rPr>
          <w:rFonts w:eastAsiaTheme="minorHAnsi"/>
        </w:rPr>
        <w:t>Alternative 2</w:t>
      </w:r>
      <w:r w:rsidR="00A66CAB">
        <w:rPr>
          <w:rFonts w:eastAsiaTheme="minorHAnsi"/>
        </w:rPr>
        <w:t>, at a cost of $</w:t>
      </w:r>
      <w:r w:rsidR="00CA1369" w:rsidRPr="00877C76">
        <w:rPr>
          <w:rFonts w:eastAsiaTheme="minorHAnsi"/>
        </w:rPr>
        <w:t>32M</w:t>
      </w:r>
      <w:r w:rsidR="00A66CAB">
        <w:rPr>
          <w:rFonts w:eastAsiaTheme="minorHAnsi"/>
        </w:rPr>
        <w:t>, is viewed as the most cost effective alternative</w:t>
      </w:r>
      <w:r w:rsidR="00B56D90" w:rsidRPr="00877C76">
        <w:rPr>
          <w:rFonts w:eastAsiaTheme="minorHAnsi"/>
        </w:rPr>
        <w:t>.</w:t>
      </w:r>
    </w:p>
    <w:p w:rsidR="00E55770" w:rsidRPr="00877C76" w:rsidRDefault="00E55770" w:rsidP="00247138">
      <w:pPr>
        <w:jc w:val="both"/>
      </w:pPr>
    </w:p>
    <w:p w:rsidR="005B7C19" w:rsidRPr="00877C76" w:rsidRDefault="006C6A58" w:rsidP="001B6D38">
      <w:pPr>
        <w:jc w:val="both"/>
      </w:pPr>
      <w:r w:rsidRPr="00877C76">
        <w:t xml:space="preserve">8. </w:t>
      </w:r>
      <w:r w:rsidRPr="00877C76">
        <w:rPr>
          <w:u w:val="single"/>
        </w:rPr>
        <w:t>Land Use.</w:t>
      </w:r>
      <w:r w:rsidRPr="00877C76">
        <w:t xml:space="preserve">  </w:t>
      </w:r>
      <w:r w:rsidR="001B6D38" w:rsidRPr="00877C76">
        <w:t xml:space="preserve"> </w:t>
      </w:r>
    </w:p>
    <w:p w:rsidR="005B7C19" w:rsidRPr="00877C76" w:rsidRDefault="005B7C19" w:rsidP="001B6D38">
      <w:pPr>
        <w:jc w:val="both"/>
      </w:pPr>
      <w:r w:rsidRPr="00877C76">
        <w:t>Alternative 2 does not require any change in land use or commitment of new land areas to construct the remedy. Alt</w:t>
      </w:r>
      <w:r w:rsidR="00A74455" w:rsidRPr="00877C76">
        <w:t>e</w:t>
      </w:r>
      <w:r w:rsidRPr="00877C76">
        <w:t>rnatives 3, 4 and 5 should not result in any new restriction on current land use. However, there will be a commitment of land area for treatment facilities and wells, as well as the rights of way for the pipelines.</w:t>
      </w:r>
    </w:p>
    <w:p w:rsidR="005B7C19" w:rsidRPr="00877C76" w:rsidRDefault="005B7C19" w:rsidP="001B6D38">
      <w:pPr>
        <w:jc w:val="both"/>
      </w:pPr>
    </w:p>
    <w:p w:rsidR="006C6A58" w:rsidRPr="00877C76" w:rsidRDefault="006C6A58" w:rsidP="00247138">
      <w:pPr>
        <w:jc w:val="both"/>
      </w:pPr>
      <w:r w:rsidRPr="00877C76">
        <w:t>The final criterion, Community Acceptance, is considered a "modifying criterion" and is taken into account after evaluating those above.  It is evaluated after public comments on the Proposed Remedial Action Plan have been received.</w:t>
      </w:r>
    </w:p>
    <w:p w:rsidR="006C6A58" w:rsidRPr="00877C76" w:rsidRDefault="006C6A58" w:rsidP="00247138">
      <w:pPr>
        <w:jc w:val="both"/>
      </w:pPr>
    </w:p>
    <w:p w:rsidR="00FD0C92" w:rsidRPr="00877C76" w:rsidRDefault="006C6A58" w:rsidP="00247138">
      <w:pPr>
        <w:jc w:val="both"/>
      </w:pPr>
      <w:r w:rsidRPr="00877C76">
        <w:t xml:space="preserve">9.  </w:t>
      </w:r>
      <w:r w:rsidRPr="00877C76">
        <w:rPr>
          <w:u w:val="single"/>
        </w:rPr>
        <w:t>Community Acceptance.</w:t>
      </w:r>
      <w:r w:rsidRPr="00877C76">
        <w:t xml:space="preserve">  Concerns of the community regarding the investigation, the evaluation of alternatives, and the PRAP are evaluated.  A responsiveness summary will be</w:t>
      </w:r>
      <w:r w:rsidR="00FD0C92" w:rsidRPr="00877C76">
        <w:t xml:space="preserve"> </w:t>
      </w:r>
      <w:r w:rsidRPr="00877C76">
        <w:t>prepared that describes public comments received and the manner in which the Department will address the concerns raised.  If the selected remedy differs significantly from the proposed remedy, notices to the public will be issued describing the differences and reasons for the changes.</w:t>
      </w:r>
      <w:r w:rsidR="00FD0C92" w:rsidRPr="00877C76">
        <w:t xml:space="preserve">  </w:t>
      </w:r>
    </w:p>
    <w:p w:rsidR="006C6A58" w:rsidRPr="00877C76" w:rsidRDefault="006C6A58" w:rsidP="00247138">
      <w:pPr>
        <w:widowControl/>
        <w:jc w:val="both"/>
      </w:pPr>
    </w:p>
    <w:p w:rsidR="006C6A58" w:rsidRPr="00877C76" w:rsidRDefault="006C6A58" w:rsidP="00247138">
      <w:pPr>
        <w:widowControl/>
        <w:jc w:val="both"/>
      </w:pPr>
      <w:r w:rsidRPr="00877C76">
        <w:t xml:space="preserve">Alternative </w:t>
      </w:r>
      <w:r w:rsidR="00921AA9" w:rsidRPr="00877C76">
        <w:t>2</w:t>
      </w:r>
      <w:r w:rsidR="0017415A" w:rsidRPr="00877C76">
        <w:t xml:space="preserve"> </w:t>
      </w:r>
      <w:r w:rsidRPr="00877C76">
        <w:t>is being proposed because, as described above, it satisfies the threshold criteria and provides the best balance of the balancing criterion.</w:t>
      </w:r>
    </w:p>
    <w:p w:rsidR="006C6A58" w:rsidRPr="00877C76" w:rsidRDefault="006C6A58" w:rsidP="00247138">
      <w:pPr>
        <w:widowControl/>
        <w:jc w:val="both"/>
        <w:rPr>
          <w:i/>
          <w:iCs/>
        </w:rPr>
      </w:pPr>
    </w:p>
    <w:p w:rsidR="00D27C2B" w:rsidRPr="00877C76" w:rsidRDefault="00D27C2B"/>
    <w:sectPr w:rsidR="00D27C2B" w:rsidRPr="00877C76" w:rsidSect="006C6A58">
      <w:footerReference w:type="default" r:id="rId9"/>
      <w:pgSz w:w="12240" w:h="15840"/>
      <w:pgMar w:top="900" w:right="720" w:bottom="720" w:left="720" w:header="900" w:footer="720" w:gutter="0"/>
      <w:cols w:space="720"/>
      <w:noEndnote/>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82824E7" w15:done="0"/>
  <w15:commentEx w15:paraId="271C76A1" w15:done="0"/>
  <w15:commentEx w15:paraId="09FFD320" w15:done="0"/>
  <w15:commentEx w15:paraId="3653192D" w15:done="0"/>
  <w15:commentEx w15:paraId="2CF9AB6D" w15:done="0"/>
  <w15:commentEx w15:paraId="01324F1D" w15:done="0"/>
  <w15:commentEx w15:paraId="0211CF33" w15:done="0"/>
  <w15:commentEx w15:paraId="00468BD5" w15:done="0"/>
  <w15:commentEx w15:paraId="2D6F211D" w15:done="0"/>
  <w15:commentEx w15:paraId="1B561F9D" w15:done="0"/>
  <w15:commentEx w15:paraId="5DA908DB" w15:done="0"/>
  <w15:commentEx w15:paraId="52078620" w15:done="0"/>
  <w15:commentEx w15:paraId="05B16D65" w15:done="0"/>
  <w15:commentEx w15:paraId="02BE6129" w15:done="0"/>
  <w15:commentEx w15:paraId="50123B15" w15:done="0"/>
  <w15:commentEx w15:paraId="66718086" w15:done="0"/>
  <w15:commentEx w15:paraId="2B5C841A" w15:done="0"/>
  <w15:commentEx w15:paraId="174490BF" w15:done="0"/>
  <w15:commentEx w15:paraId="3C71A4D0" w15:done="0"/>
  <w15:commentEx w15:paraId="6ECC8698" w15:done="0"/>
  <w15:commentEx w15:paraId="3754568D" w15:done="0"/>
  <w15:commentEx w15:paraId="7697430F" w15:done="0"/>
  <w15:commentEx w15:paraId="23F4971A" w15:done="0"/>
  <w15:commentEx w15:paraId="4AF67A6B" w15:done="0"/>
  <w15:commentEx w15:paraId="6CC33263" w15:done="0"/>
  <w15:commentEx w15:paraId="1770DFC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07B" w:rsidRDefault="0093407B" w:rsidP="002C4785">
      <w:r>
        <w:separator/>
      </w:r>
    </w:p>
  </w:endnote>
  <w:endnote w:type="continuationSeparator" w:id="0">
    <w:p w:rsidR="0093407B" w:rsidRDefault="0093407B" w:rsidP="002C4785">
      <w:r>
        <w:continuationSeparator/>
      </w:r>
    </w:p>
  </w:endnote>
  <w:endnote w:type="continuationNotice" w:id="1">
    <w:p w:rsidR="0093407B" w:rsidRDefault="0093407B"/>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6B1" w:rsidRDefault="005A36B1">
    <w:pPr>
      <w:spacing w:line="246" w:lineRule="exact"/>
    </w:pPr>
  </w:p>
  <w:p w:rsidR="005A36B1" w:rsidRPr="00E53A37" w:rsidRDefault="00CA4F4B">
    <w:pPr>
      <w:tabs>
        <w:tab w:val="right" w:pos="10800"/>
      </w:tabs>
      <w:rPr>
        <w:sz w:val="16"/>
        <w:szCs w:val="16"/>
      </w:rPr>
    </w:pPr>
    <w:r>
      <w:rPr>
        <w:noProof/>
        <w:sz w:val="16"/>
        <w:szCs w:val="16"/>
      </w:rPr>
      <w:pict>
        <v:shapetype id="_x0000_t32" coordsize="21600,21600" o:spt="32" o:oned="t" path="m,l21600,21600e" filled="f">
          <v:path arrowok="t" fillok="f" o:connecttype="none"/>
          <o:lock v:ext="edit" shapetype="t"/>
        </v:shapetype>
        <v:shape id="AutoShape 1" o:spid="_x0000_s8193" type="#_x0000_t32" style="position:absolute;margin-left:1.85pt;margin-top:3.1pt;width:539.4pt;height:.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" strokeweight=".5pt"/>
      </w:pict>
    </w:r>
  </w:p>
  <w:p w:rsidR="005A36B1" w:rsidRPr="007B2E05" w:rsidRDefault="005A36B1">
    <w:pPr>
      <w:tabs>
        <w:tab w:val="right" w:pos="10800"/>
      </w:tabs>
      <w:rPr>
        <w:sz w:val="16"/>
        <w:szCs w:val="16"/>
      </w:rPr>
    </w:pPr>
    <w:r w:rsidRPr="007B2E05">
      <w:rPr>
        <w:sz w:val="16"/>
        <w:szCs w:val="16"/>
      </w:rPr>
      <w:t>PROPOSED REMEDIAL ACTION PLAN EXHIBITS A THROUGH D</w:t>
    </w:r>
    <w:r w:rsidRPr="007B2E05">
      <w:rPr>
        <w:sz w:val="16"/>
        <w:szCs w:val="16"/>
      </w:rPr>
      <w:tab/>
    </w:r>
    <w:r w:rsidR="00832DF9" w:rsidRPr="007B2E05">
      <w:rPr>
        <w:sz w:val="16"/>
        <w:szCs w:val="16"/>
      </w:rPr>
      <w:t>June</w:t>
    </w:r>
    <w:r w:rsidRPr="007B2E05">
      <w:rPr>
        <w:sz w:val="16"/>
        <w:szCs w:val="16"/>
      </w:rPr>
      <w:t xml:space="preserve"> 2014</w:t>
    </w:r>
  </w:p>
  <w:p w:rsidR="005A36B1" w:rsidRPr="007B2E05" w:rsidRDefault="005A36B1" w:rsidP="00223299">
    <w:pPr>
      <w:tabs>
        <w:tab w:val="right" w:pos="10800"/>
      </w:tabs>
      <w:rPr>
        <w:rFonts w:ascii="Courier" w:hAnsi="Courier" w:cs="Courier"/>
        <w:sz w:val="20"/>
        <w:szCs w:val="20"/>
      </w:rPr>
    </w:pPr>
    <w:r w:rsidRPr="007B2E05">
      <w:rPr>
        <w:sz w:val="16"/>
        <w:szCs w:val="16"/>
      </w:rPr>
      <w:t xml:space="preserve">Unisys Corporation, </w:t>
    </w:r>
    <w:r w:rsidR="00A66CAB">
      <w:rPr>
        <w:sz w:val="16"/>
        <w:szCs w:val="16"/>
      </w:rPr>
      <w:t xml:space="preserve">Operable Unit No. 2, </w:t>
    </w:r>
    <w:r w:rsidRPr="007B2E05">
      <w:rPr>
        <w:sz w:val="16"/>
        <w:szCs w:val="16"/>
      </w:rPr>
      <w:t>Site No. 130045</w:t>
    </w:r>
    <w:r w:rsidRPr="007B2E05">
      <w:rPr>
        <w:sz w:val="16"/>
        <w:szCs w:val="16"/>
      </w:rPr>
      <w:tab/>
      <w:t xml:space="preserve">PAGE </w:t>
    </w:r>
    <w:r w:rsidR="00CA4F4B" w:rsidRPr="007B2E05">
      <w:rPr>
        <w:sz w:val="16"/>
        <w:szCs w:val="16"/>
      </w:rPr>
      <w:fldChar w:fldCharType="begin"/>
    </w:r>
    <w:r w:rsidRPr="007B2E05">
      <w:rPr>
        <w:sz w:val="16"/>
        <w:szCs w:val="16"/>
      </w:rPr>
      <w:instrText xml:space="preserve">PAGE </w:instrText>
    </w:r>
    <w:r w:rsidR="00CA4F4B" w:rsidRPr="007B2E05">
      <w:rPr>
        <w:sz w:val="16"/>
        <w:szCs w:val="16"/>
      </w:rPr>
      <w:fldChar w:fldCharType="separate"/>
    </w:r>
    <w:r w:rsidR="00864A6F">
      <w:rPr>
        <w:noProof/>
        <w:sz w:val="16"/>
        <w:szCs w:val="16"/>
      </w:rPr>
      <w:t>13</w:t>
    </w:r>
    <w:r w:rsidR="00CA4F4B" w:rsidRPr="007B2E05">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07B" w:rsidRDefault="0093407B" w:rsidP="002C4785">
      <w:r>
        <w:separator/>
      </w:r>
    </w:p>
  </w:footnote>
  <w:footnote w:type="continuationSeparator" w:id="0">
    <w:p w:rsidR="0093407B" w:rsidRDefault="0093407B" w:rsidP="002C4785">
      <w:r>
        <w:continuationSeparator/>
      </w:r>
    </w:p>
  </w:footnote>
  <w:footnote w:type="continuationNotice" w:id="1">
    <w:p w:rsidR="0093407B" w:rsidRDefault="0093407B"/>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A8EC020"/>
    <w:lvl w:ilvl="0">
      <w:numFmt w:val="bullet"/>
      <w:lvlText w:val="*"/>
      <w:lvlJc w:val="left"/>
    </w:lvl>
  </w:abstractNum>
  <w:abstractNum w:abstractNumId="1">
    <w:nsid w:val="00000002"/>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nsid w:val="08B71730"/>
    <w:multiLevelType w:val="hybridMultilevel"/>
    <w:tmpl w:val="2812C51C"/>
    <w:lvl w:ilvl="0" w:tplc="8034CD06">
      <w:start w:val="1"/>
      <w:numFmt w:val="bullet"/>
      <w:lvlText w:val="•"/>
      <w:lvlJc w:val="left"/>
      <w:pPr>
        <w:tabs>
          <w:tab w:val="num" w:pos="720"/>
        </w:tabs>
        <w:ind w:left="720" w:hanging="360"/>
      </w:pPr>
      <w:rPr>
        <w:rFonts w:ascii="Arial" w:hAnsi="Arial" w:hint="default"/>
      </w:rPr>
    </w:lvl>
    <w:lvl w:ilvl="1" w:tplc="F432DBEC" w:tentative="1">
      <w:start w:val="1"/>
      <w:numFmt w:val="bullet"/>
      <w:lvlText w:val="•"/>
      <w:lvlJc w:val="left"/>
      <w:pPr>
        <w:tabs>
          <w:tab w:val="num" w:pos="1440"/>
        </w:tabs>
        <w:ind w:left="1440" w:hanging="360"/>
      </w:pPr>
      <w:rPr>
        <w:rFonts w:ascii="Arial" w:hAnsi="Arial" w:hint="default"/>
      </w:rPr>
    </w:lvl>
    <w:lvl w:ilvl="2" w:tplc="8556CDFC" w:tentative="1">
      <w:start w:val="1"/>
      <w:numFmt w:val="bullet"/>
      <w:lvlText w:val="•"/>
      <w:lvlJc w:val="left"/>
      <w:pPr>
        <w:tabs>
          <w:tab w:val="num" w:pos="2160"/>
        </w:tabs>
        <w:ind w:left="2160" w:hanging="360"/>
      </w:pPr>
      <w:rPr>
        <w:rFonts w:ascii="Arial" w:hAnsi="Arial" w:hint="default"/>
      </w:rPr>
    </w:lvl>
    <w:lvl w:ilvl="3" w:tplc="E7740122" w:tentative="1">
      <w:start w:val="1"/>
      <w:numFmt w:val="bullet"/>
      <w:lvlText w:val="•"/>
      <w:lvlJc w:val="left"/>
      <w:pPr>
        <w:tabs>
          <w:tab w:val="num" w:pos="2880"/>
        </w:tabs>
        <w:ind w:left="2880" w:hanging="360"/>
      </w:pPr>
      <w:rPr>
        <w:rFonts w:ascii="Arial" w:hAnsi="Arial" w:hint="default"/>
      </w:rPr>
    </w:lvl>
    <w:lvl w:ilvl="4" w:tplc="AF46C066" w:tentative="1">
      <w:start w:val="1"/>
      <w:numFmt w:val="bullet"/>
      <w:lvlText w:val="•"/>
      <w:lvlJc w:val="left"/>
      <w:pPr>
        <w:tabs>
          <w:tab w:val="num" w:pos="3600"/>
        </w:tabs>
        <w:ind w:left="3600" w:hanging="360"/>
      </w:pPr>
      <w:rPr>
        <w:rFonts w:ascii="Arial" w:hAnsi="Arial" w:hint="default"/>
      </w:rPr>
    </w:lvl>
    <w:lvl w:ilvl="5" w:tplc="944802EA" w:tentative="1">
      <w:start w:val="1"/>
      <w:numFmt w:val="bullet"/>
      <w:lvlText w:val="•"/>
      <w:lvlJc w:val="left"/>
      <w:pPr>
        <w:tabs>
          <w:tab w:val="num" w:pos="4320"/>
        </w:tabs>
        <w:ind w:left="4320" w:hanging="360"/>
      </w:pPr>
      <w:rPr>
        <w:rFonts w:ascii="Arial" w:hAnsi="Arial" w:hint="default"/>
      </w:rPr>
    </w:lvl>
    <w:lvl w:ilvl="6" w:tplc="31B2FF58" w:tentative="1">
      <w:start w:val="1"/>
      <w:numFmt w:val="bullet"/>
      <w:lvlText w:val="•"/>
      <w:lvlJc w:val="left"/>
      <w:pPr>
        <w:tabs>
          <w:tab w:val="num" w:pos="5040"/>
        </w:tabs>
        <w:ind w:left="5040" w:hanging="360"/>
      </w:pPr>
      <w:rPr>
        <w:rFonts w:ascii="Arial" w:hAnsi="Arial" w:hint="default"/>
      </w:rPr>
    </w:lvl>
    <w:lvl w:ilvl="7" w:tplc="7AD2426A" w:tentative="1">
      <w:start w:val="1"/>
      <w:numFmt w:val="bullet"/>
      <w:lvlText w:val="•"/>
      <w:lvlJc w:val="left"/>
      <w:pPr>
        <w:tabs>
          <w:tab w:val="num" w:pos="5760"/>
        </w:tabs>
        <w:ind w:left="5760" w:hanging="360"/>
      </w:pPr>
      <w:rPr>
        <w:rFonts w:ascii="Arial" w:hAnsi="Arial" w:hint="default"/>
      </w:rPr>
    </w:lvl>
    <w:lvl w:ilvl="8" w:tplc="2B6C379A" w:tentative="1">
      <w:start w:val="1"/>
      <w:numFmt w:val="bullet"/>
      <w:lvlText w:val="•"/>
      <w:lvlJc w:val="left"/>
      <w:pPr>
        <w:tabs>
          <w:tab w:val="num" w:pos="6480"/>
        </w:tabs>
        <w:ind w:left="6480" w:hanging="360"/>
      </w:pPr>
      <w:rPr>
        <w:rFonts w:ascii="Arial" w:hAnsi="Arial" w:hint="default"/>
      </w:rPr>
    </w:lvl>
  </w:abstractNum>
  <w:abstractNum w:abstractNumId="3">
    <w:nsid w:val="0FBA1595"/>
    <w:multiLevelType w:val="hybridMultilevel"/>
    <w:tmpl w:val="344EE484"/>
    <w:lvl w:ilvl="0" w:tplc="07DCDB7E">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nsid w:val="273D0183"/>
    <w:multiLevelType w:val="hybridMultilevel"/>
    <w:tmpl w:val="2BBE72C0"/>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FA4A01"/>
    <w:multiLevelType w:val="hybridMultilevel"/>
    <w:tmpl w:val="0FEE75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395B0EB3"/>
    <w:multiLevelType w:val="hybridMultilevel"/>
    <w:tmpl w:val="44EA1B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CC353D"/>
    <w:multiLevelType w:val="hybridMultilevel"/>
    <w:tmpl w:val="635896CC"/>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8">
    <w:nsid w:val="50E65504"/>
    <w:multiLevelType w:val="hybridMultilevel"/>
    <w:tmpl w:val="2AEC2C38"/>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D4482E"/>
    <w:multiLevelType w:val="hybridMultilevel"/>
    <w:tmpl w:val="C52A6BA2"/>
    <w:lvl w:ilvl="0" w:tplc="A438A47A">
      <w:start w:val="1"/>
      <w:numFmt w:val="bullet"/>
      <w:lvlText w:val="•"/>
      <w:lvlJc w:val="left"/>
      <w:pPr>
        <w:tabs>
          <w:tab w:val="num" w:pos="720"/>
        </w:tabs>
        <w:ind w:left="720" w:hanging="360"/>
      </w:pPr>
      <w:rPr>
        <w:rFonts w:ascii="Arial" w:hAnsi="Arial" w:hint="default"/>
      </w:rPr>
    </w:lvl>
    <w:lvl w:ilvl="1" w:tplc="8F285ED6" w:tentative="1">
      <w:start w:val="1"/>
      <w:numFmt w:val="bullet"/>
      <w:lvlText w:val="•"/>
      <w:lvlJc w:val="left"/>
      <w:pPr>
        <w:tabs>
          <w:tab w:val="num" w:pos="1440"/>
        </w:tabs>
        <w:ind w:left="1440" w:hanging="360"/>
      </w:pPr>
      <w:rPr>
        <w:rFonts w:ascii="Arial" w:hAnsi="Arial" w:hint="default"/>
      </w:rPr>
    </w:lvl>
    <w:lvl w:ilvl="2" w:tplc="BAEC723E" w:tentative="1">
      <w:start w:val="1"/>
      <w:numFmt w:val="bullet"/>
      <w:lvlText w:val="•"/>
      <w:lvlJc w:val="left"/>
      <w:pPr>
        <w:tabs>
          <w:tab w:val="num" w:pos="2160"/>
        </w:tabs>
        <w:ind w:left="2160" w:hanging="360"/>
      </w:pPr>
      <w:rPr>
        <w:rFonts w:ascii="Arial" w:hAnsi="Arial" w:hint="default"/>
      </w:rPr>
    </w:lvl>
    <w:lvl w:ilvl="3" w:tplc="2BC6B3E6" w:tentative="1">
      <w:start w:val="1"/>
      <w:numFmt w:val="bullet"/>
      <w:lvlText w:val="•"/>
      <w:lvlJc w:val="left"/>
      <w:pPr>
        <w:tabs>
          <w:tab w:val="num" w:pos="2880"/>
        </w:tabs>
        <w:ind w:left="2880" w:hanging="360"/>
      </w:pPr>
      <w:rPr>
        <w:rFonts w:ascii="Arial" w:hAnsi="Arial" w:hint="default"/>
      </w:rPr>
    </w:lvl>
    <w:lvl w:ilvl="4" w:tplc="EF9CF63E" w:tentative="1">
      <w:start w:val="1"/>
      <w:numFmt w:val="bullet"/>
      <w:lvlText w:val="•"/>
      <w:lvlJc w:val="left"/>
      <w:pPr>
        <w:tabs>
          <w:tab w:val="num" w:pos="3600"/>
        </w:tabs>
        <w:ind w:left="3600" w:hanging="360"/>
      </w:pPr>
      <w:rPr>
        <w:rFonts w:ascii="Arial" w:hAnsi="Arial" w:hint="default"/>
      </w:rPr>
    </w:lvl>
    <w:lvl w:ilvl="5" w:tplc="3C026AF4" w:tentative="1">
      <w:start w:val="1"/>
      <w:numFmt w:val="bullet"/>
      <w:lvlText w:val="•"/>
      <w:lvlJc w:val="left"/>
      <w:pPr>
        <w:tabs>
          <w:tab w:val="num" w:pos="4320"/>
        </w:tabs>
        <w:ind w:left="4320" w:hanging="360"/>
      </w:pPr>
      <w:rPr>
        <w:rFonts w:ascii="Arial" w:hAnsi="Arial" w:hint="default"/>
      </w:rPr>
    </w:lvl>
    <w:lvl w:ilvl="6" w:tplc="8E6E7EAE" w:tentative="1">
      <w:start w:val="1"/>
      <w:numFmt w:val="bullet"/>
      <w:lvlText w:val="•"/>
      <w:lvlJc w:val="left"/>
      <w:pPr>
        <w:tabs>
          <w:tab w:val="num" w:pos="5040"/>
        </w:tabs>
        <w:ind w:left="5040" w:hanging="360"/>
      </w:pPr>
      <w:rPr>
        <w:rFonts w:ascii="Arial" w:hAnsi="Arial" w:hint="default"/>
      </w:rPr>
    </w:lvl>
    <w:lvl w:ilvl="7" w:tplc="7940FF72" w:tentative="1">
      <w:start w:val="1"/>
      <w:numFmt w:val="bullet"/>
      <w:lvlText w:val="•"/>
      <w:lvlJc w:val="left"/>
      <w:pPr>
        <w:tabs>
          <w:tab w:val="num" w:pos="5760"/>
        </w:tabs>
        <w:ind w:left="5760" w:hanging="360"/>
      </w:pPr>
      <w:rPr>
        <w:rFonts w:ascii="Arial" w:hAnsi="Arial" w:hint="default"/>
      </w:rPr>
    </w:lvl>
    <w:lvl w:ilvl="8" w:tplc="5762B7F6" w:tentative="1">
      <w:start w:val="1"/>
      <w:numFmt w:val="bullet"/>
      <w:lvlText w:val="•"/>
      <w:lvlJc w:val="left"/>
      <w:pPr>
        <w:tabs>
          <w:tab w:val="num" w:pos="6480"/>
        </w:tabs>
        <w:ind w:left="6480" w:hanging="360"/>
      </w:pPr>
      <w:rPr>
        <w:rFonts w:ascii="Arial" w:hAnsi="Arial" w:hint="default"/>
      </w:rPr>
    </w:lvl>
  </w:abstractNum>
  <w:abstractNum w:abstractNumId="10">
    <w:nsid w:val="67451925"/>
    <w:multiLevelType w:val="hybridMultilevel"/>
    <w:tmpl w:val="1B96972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9D5E22"/>
    <w:multiLevelType w:val="hybridMultilevel"/>
    <w:tmpl w:val="AFDE8DC0"/>
    <w:lvl w:ilvl="0" w:tplc="04090019">
      <w:start w:val="1"/>
      <w:numFmt w:val="lowerLetter"/>
      <w:lvlText w:val="%1."/>
      <w:lvlJc w:val="left"/>
      <w:pPr>
        <w:ind w:left="720" w:hanging="360"/>
      </w:pPr>
    </w:lvl>
    <w:lvl w:ilvl="1" w:tplc="04090001">
      <w:start w:val="1"/>
      <w:numFmt w:val="bullet"/>
      <w:lvlText w:val=""/>
      <w:lvlJc w:val="left"/>
      <w:pPr>
        <w:ind w:left="81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1AF03D0"/>
    <w:multiLevelType w:val="hybridMultilevel"/>
    <w:tmpl w:val="D3E6A0D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49A168C"/>
    <w:multiLevelType w:val="hybridMultilevel"/>
    <w:tmpl w:val="421C92F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2">
    <w:abstractNumId w:val="1"/>
  </w:num>
  <w:num w:numId="3">
    <w:abstractNumId w:val="2"/>
  </w:num>
  <w:num w:numId="4">
    <w:abstractNumId w:val="9"/>
  </w:num>
  <w:num w:numId="5">
    <w:abstractNumId w:val="7"/>
  </w:num>
  <w:num w:numId="6">
    <w:abstractNumId w:val="13"/>
  </w:num>
  <w:num w:numId="7">
    <w:abstractNumId w:val="3"/>
  </w:num>
  <w:num w:numId="8">
    <w:abstractNumId w:val="11"/>
  </w:num>
  <w:num w:numId="9">
    <w:abstractNumId w:val="4"/>
  </w:num>
  <w:num w:numId="10">
    <w:abstractNumId w:val="10"/>
  </w:num>
  <w:num w:numId="11">
    <w:abstractNumId w:val="8"/>
  </w:num>
  <w:num w:numId="12">
    <w:abstractNumId w:val="6"/>
  </w:num>
  <w:num w:numId="13">
    <w:abstractNumId w:val="0"/>
    <w:lvlOverride w:ilvl="0">
      <w:lvl w:ilvl="0">
        <w:numFmt w:val="bullet"/>
        <w:lvlText w:val=""/>
        <w:legacy w:legacy="1" w:legacySpace="0" w:legacyIndent="0"/>
        <w:lvlJc w:val="left"/>
        <w:rPr>
          <w:rFonts w:ascii="Symbol" w:hAnsi="Symbol" w:hint="default"/>
          <w:sz w:val="22"/>
        </w:rPr>
      </w:lvl>
    </w:lvlOverride>
  </w:num>
  <w:num w:numId="14">
    <w:abstractNumId w:val="5"/>
  </w:num>
  <w:num w:numId="15">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arlotte M Bethoney">
    <w15:presenceInfo w15:providerId="AD" w15:userId="S-1-5-21-218105429-2715934002-73406468-38695"/>
  </w15:person>
  <w15:person w15:author="Lloyd R Wilson">
    <w15:presenceInfo w15:providerId="AD" w15:userId="S-1-5-21-218105429-2715934002-73406468-38864"/>
  </w15:person>
  <w15:person w15:author="Renata E Ockerby">
    <w15:presenceInfo w15:providerId="AD" w15:userId="S-1-5-21-218105429-2715934002-73406468-38949"/>
  </w15:person>
  <w15:person w15:author="CEH">
    <w15:presenceInfo w15:providerId="None" w15:userId="CEH"/>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8194"/>
    <o:shapelayout v:ext="edit">
      <o:idmap v:ext="edit" data="8"/>
      <o:rules v:ext="edit">
        <o:r id="V:Rule2" type="connector" idref="#AutoShape 1"/>
      </o:rules>
    </o:shapelayout>
  </w:hdrShapeDefaults>
  <w:footnotePr>
    <w:footnote w:id="-1"/>
    <w:footnote w:id="0"/>
    <w:footnote w:id="1"/>
  </w:footnotePr>
  <w:endnotePr>
    <w:endnote w:id="-1"/>
    <w:endnote w:id="0"/>
    <w:endnote w:id="1"/>
  </w:endnotePr>
  <w:compat/>
  <w:rsids>
    <w:rsidRoot w:val="006C6A58"/>
    <w:rsid w:val="00004423"/>
    <w:rsid w:val="00007DAA"/>
    <w:rsid w:val="0001179F"/>
    <w:rsid w:val="0001742E"/>
    <w:rsid w:val="00025AD3"/>
    <w:rsid w:val="0002769E"/>
    <w:rsid w:val="000308F3"/>
    <w:rsid w:val="00031091"/>
    <w:rsid w:val="00032827"/>
    <w:rsid w:val="000354F4"/>
    <w:rsid w:val="00043FCC"/>
    <w:rsid w:val="000453E5"/>
    <w:rsid w:val="00050148"/>
    <w:rsid w:val="0005071C"/>
    <w:rsid w:val="0005113F"/>
    <w:rsid w:val="00055777"/>
    <w:rsid w:val="00057590"/>
    <w:rsid w:val="00062FE1"/>
    <w:rsid w:val="000700CD"/>
    <w:rsid w:val="00071646"/>
    <w:rsid w:val="00076DD9"/>
    <w:rsid w:val="00083141"/>
    <w:rsid w:val="00085341"/>
    <w:rsid w:val="00087796"/>
    <w:rsid w:val="000924DD"/>
    <w:rsid w:val="00093A48"/>
    <w:rsid w:val="000966AC"/>
    <w:rsid w:val="000A0857"/>
    <w:rsid w:val="000A0E38"/>
    <w:rsid w:val="000A4369"/>
    <w:rsid w:val="000A48D0"/>
    <w:rsid w:val="000A5A08"/>
    <w:rsid w:val="000B03AE"/>
    <w:rsid w:val="000B09AB"/>
    <w:rsid w:val="000B7328"/>
    <w:rsid w:val="000B7EA5"/>
    <w:rsid w:val="000C17F2"/>
    <w:rsid w:val="000C2E74"/>
    <w:rsid w:val="000C37A4"/>
    <w:rsid w:val="000D0176"/>
    <w:rsid w:val="000D1FED"/>
    <w:rsid w:val="000D273B"/>
    <w:rsid w:val="000D328F"/>
    <w:rsid w:val="000D5A23"/>
    <w:rsid w:val="000E7AF7"/>
    <w:rsid w:val="000F19DE"/>
    <w:rsid w:val="000F24FE"/>
    <w:rsid w:val="000F4B77"/>
    <w:rsid w:val="000F66D3"/>
    <w:rsid w:val="00100ADB"/>
    <w:rsid w:val="0010169B"/>
    <w:rsid w:val="0010681D"/>
    <w:rsid w:val="001126E4"/>
    <w:rsid w:val="001132D5"/>
    <w:rsid w:val="00113EE3"/>
    <w:rsid w:val="00117712"/>
    <w:rsid w:val="00117FF2"/>
    <w:rsid w:val="00126B36"/>
    <w:rsid w:val="0012724A"/>
    <w:rsid w:val="001304B7"/>
    <w:rsid w:val="0013455B"/>
    <w:rsid w:val="001369B9"/>
    <w:rsid w:val="00140824"/>
    <w:rsid w:val="001418C5"/>
    <w:rsid w:val="00142081"/>
    <w:rsid w:val="00144E4A"/>
    <w:rsid w:val="00150112"/>
    <w:rsid w:val="00155718"/>
    <w:rsid w:val="00157FD9"/>
    <w:rsid w:val="00160263"/>
    <w:rsid w:val="0016087C"/>
    <w:rsid w:val="00160FAD"/>
    <w:rsid w:val="00166396"/>
    <w:rsid w:val="00171B79"/>
    <w:rsid w:val="001737B3"/>
    <w:rsid w:val="0017415A"/>
    <w:rsid w:val="001744FA"/>
    <w:rsid w:val="001918C1"/>
    <w:rsid w:val="00191965"/>
    <w:rsid w:val="001A1E80"/>
    <w:rsid w:val="001A753F"/>
    <w:rsid w:val="001A7D42"/>
    <w:rsid w:val="001B32F6"/>
    <w:rsid w:val="001B37F0"/>
    <w:rsid w:val="001B3F4E"/>
    <w:rsid w:val="001B5767"/>
    <w:rsid w:val="001B583D"/>
    <w:rsid w:val="001B6D38"/>
    <w:rsid w:val="001B7278"/>
    <w:rsid w:val="001C7852"/>
    <w:rsid w:val="001D0D5C"/>
    <w:rsid w:val="001D4882"/>
    <w:rsid w:val="001D57E3"/>
    <w:rsid w:val="001D5A11"/>
    <w:rsid w:val="001D67B3"/>
    <w:rsid w:val="001E001E"/>
    <w:rsid w:val="001E04C4"/>
    <w:rsid w:val="001E1B1E"/>
    <w:rsid w:val="001E2EF9"/>
    <w:rsid w:val="001E3D82"/>
    <w:rsid w:val="001E6388"/>
    <w:rsid w:val="001E6B14"/>
    <w:rsid w:val="001E6C62"/>
    <w:rsid w:val="001E7EA2"/>
    <w:rsid w:val="001F358D"/>
    <w:rsid w:val="001F46DC"/>
    <w:rsid w:val="001F53E4"/>
    <w:rsid w:val="002002B2"/>
    <w:rsid w:val="0020445B"/>
    <w:rsid w:val="00205644"/>
    <w:rsid w:val="00207434"/>
    <w:rsid w:val="002105A1"/>
    <w:rsid w:val="00210FEE"/>
    <w:rsid w:val="00221C94"/>
    <w:rsid w:val="002224DB"/>
    <w:rsid w:val="00223299"/>
    <w:rsid w:val="00225253"/>
    <w:rsid w:val="002252A3"/>
    <w:rsid w:val="00231716"/>
    <w:rsid w:val="00232B44"/>
    <w:rsid w:val="00233533"/>
    <w:rsid w:val="00234829"/>
    <w:rsid w:val="0023529A"/>
    <w:rsid w:val="002368E2"/>
    <w:rsid w:val="00236CEA"/>
    <w:rsid w:val="002375F8"/>
    <w:rsid w:val="002379C3"/>
    <w:rsid w:val="0024025E"/>
    <w:rsid w:val="0024375C"/>
    <w:rsid w:val="00243E04"/>
    <w:rsid w:val="00246260"/>
    <w:rsid w:val="00247138"/>
    <w:rsid w:val="00247B5A"/>
    <w:rsid w:val="0025396D"/>
    <w:rsid w:val="00255AE6"/>
    <w:rsid w:val="00260CFE"/>
    <w:rsid w:val="00263E24"/>
    <w:rsid w:val="00266903"/>
    <w:rsid w:val="00267582"/>
    <w:rsid w:val="00270360"/>
    <w:rsid w:val="00271B8B"/>
    <w:rsid w:val="00273FB1"/>
    <w:rsid w:val="002768DB"/>
    <w:rsid w:val="00283D8A"/>
    <w:rsid w:val="002841B8"/>
    <w:rsid w:val="00285523"/>
    <w:rsid w:val="002926A1"/>
    <w:rsid w:val="0029400B"/>
    <w:rsid w:val="00295A01"/>
    <w:rsid w:val="002A2FC6"/>
    <w:rsid w:val="002A4245"/>
    <w:rsid w:val="002A4355"/>
    <w:rsid w:val="002A7DD7"/>
    <w:rsid w:val="002B163B"/>
    <w:rsid w:val="002B3D9C"/>
    <w:rsid w:val="002B5D07"/>
    <w:rsid w:val="002C1ED6"/>
    <w:rsid w:val="002C435A"/>
    <w:rsid w:val="002C4785"/>
    <w:rsid w:val="002C589B"/>
    <w:rsid w:val="002C79DE"/>
    <w:rsid w:val="002D2272"/>
    <w:rsid w:val="002D3ACF"/>
    <w:rsid w:val="002D44B3"/>
    <w:rsid w:val="002D6CFE"/>
    <w:rsid w:val="002D7006"/>
    <w:rsid w:val="002E0D79"/>
    <w:rsid w:val="002E15DD"/>
    <w:rsid w:val="002E28AC"/>
    <w:rsid w:val="002E4657"/>
    <w:rsid w:val="002E5929"/>
    <w:rsid w:val="002F0A57"/>
    <w:rsid w:val="002F2B36"/>
    <w:rsid w:val="002F3714"/>
    <w:rsid w:val="003018E4"/>
    <w:rsid w:val="003058BE"/>
    <w:rsid w:val="00307A74"/>
    <w:rsid w:val="00316692"/>
    <w:rsid w:val="0032238F"/>
    <w:rsid w:val="00324F91"/>
    <w:rsid w:val="003324D2"/>
    <w:rsid w:val="003378A3"/>
    <w:rsid w:val="00337FD7"/>
    <w:rsid w:val="00343C67"/>
    <w:rsid w:val="00344C0D"/>
    <w:rsid w:val="00345101"/>
    <w:rsid w:val="00350B06"/>
    <w:rsid w:val="00350D5E"/>
    <w:rsid w:val="00352E56"/>
    <w:rsid w:val="0035368F"/>
    <w:rsid w:val="003549D5"/>
    <w:rsid w:val="003608D3"/>
    <w:rsid w:val="00367146"/>
    <w:rsid w:val="00373ECD"/>
    <w:rsid w:val="00376AC3"/>
    <w:rsid w:val="00386010"/>
    <w:rsid w:val="00391407"/>
    <w:rsid w:val="003942C4"/>
    <w:rsid w:val="0039515E"/>
    <w:rsid w:val="00395756"/>
    <w:rsid w:val="0039618D"/>
    <w:rsid w:val="003A229C"/>
    <w:rsid w:val="003A246D"/>
    <w:rsid w:val="003B244C"/>
    <w:rsid w:val="003B7AD1"/>
    <w:rsid w:val="003B7F1C"/>
    <w:rsid w:val="003C2792"/>
    <w:rsid w:val="003C2850"/>
    <w:rsid w:val="003C33EE"/>
    <w:rsid w:val="003C4001"/>
    <w:rsid w:val="003C6CE6"/>
    <w:rsid w:val="003D75D3"/>
    <w:rsid w:val="003E17F7"/>
    <w:rsid w:val="003E1A58"/>
    <w:rsid w:val="003E2272"/>
    <w:rsid w:val="003E33AE"/>
    <w:rsid w:val="003E3ED0"/>
    <w:rsid w:val="003E63FA"/>
    <w:rsid w:val="003E6E6A"/>
    <w:rsid w:val="003E7A51"/>
    <w:rsid w:val="003F0707"/>
    <w:rsid w:val="003F1738"/>
    <w:rsid w:val="003F234D"/>
    <w:rsid w:val="00405896"/>
    <w:rsid w:val="00412337"/>
    <w:rsid w:val="004123FD"/>
    <w:rsid w:val="0041412C"/>
    <w:rsid w:val="004142FF"/>
    <w:rsid w:val="00417F48"/>
    <w:rsid w:val="0042449C"/>
    <w:rsid w:val="004254E0"/>
    <w:rsid w:val="004260DF"/>
    <w:rsid w:val="004262FB"/>
    <w:rsid w:val="00426F5C"/>
    <w:rsid w:val="004327FE"/>
    <w:rsid w:val="0044093A"/>
    <w:rsid w:val="004416C6"/>
    <w:rsid w:val="00442672"/>
    <w:rsid w:val="00442C77"/>
    <w:rsid w:val="00450365"/>
    <w:rsid w:val="00452A0E"/>
    <w:rsid w:val="00454554"/>
    <w:rsid w:val="00455493"/>
    <w:rsid w:val="0045684A"/>
    <w:rsid w:val="0046021D"/>
    <w:rsid w:val="004666FF"/>
    <w:rsid w:val="004674CF"/>
    <w:rsid w:val="00467E10"/>
    <w:rsid w:val="00471541"/>
    <w:rsid w:val="0047298E"/>
    <w:rsid w:val="00473868"/>
    <w:rsid w:val="00480321"/>
    <w:rsid w:val="00480D33"/>
    <w:rsid w:val="00484410"/>
    <w:rsid w:val="004848A8"/>
    <w:rsid w:val="00485E4E"/>
    <w:rsid w:val="004902FB"/>
    <w:rsid w:val="0049098E"/>
    <w:rsid w:val="00491F1C"/>
    <w:rsid w:val="0049237D"/>
    <w:rsid w:val="004936AB"/>
    <w:rsid w:val="004A0A82"/>
    <w:rsid w:val="004A1EBA"/>
    <w:rsid w:val="004A4B9C"/>
    <w:rsid w:val="004A5FAB"/>
    <w:rsid w:val="004B0CD8"/>
    <w:rsid w:val="004C146A"/>
    <w:rsid w:val="004C171C"/>
    <w:rsid w:val="004C33A5"/>
    <w:rsid w:val="004C7E31"/>
    <w:rsid w:val="004D0096"/>
    <w:rsid w:val="004D5138"/>
    <w:rsid w:val="004E6C60"/>
    <w:rsid w:val="004E72E2"/>
    <w:rsid w:val="00500DA5"/>
    <w:rsid w:val="00501B08"/>
    <w:rsid w:val="00501F08"/>
    <w:rsid w:val="00502D7A"/>
    <w:rsid w:val="00503146"/>
    <w:rsid w:val="00506470"/>
    <w:rsid w:val="005134CC"/>
    <w:rsid w:val="00520D54"/>
    <w:rsid w:val="0052433A"/>
    <w:rsid w:val="005248D5"/>
    <w:rsid w:val="005254B3"/>
    <w:rsid w:val="00530ECF"/>
    <w:rsid w:val="00532924"/>
    <w:rsid w:val="005435B4"/>
    <w:rsid w:val="00545620"/>
    <w:rsid w:val="005501BA"/>
    <w:rsid w:val="00551A3E"/>
    <w:rsid w:val="00551B03"/>
    <w:rsid w:val="00551D5D"/>
    <w:rsid w:val="00552765"/>
    <w:rsid w:val="0055592C"/>
    <w:rsid w:val="00557F29"/>
    <w:rsid w:val="00560974"/>
    <w:rsid w:val="00561712"/>
    <w:rsid w:val="00561CD6"/>
    <w:rsid w:val="00562A7A"/>
    <w:rsid w:val="00564870"/>
    <w:rsid w:val="00565248"/>
    <w:rsid w:val="00570DA2"/>
    <w:rsid w:val="0058031B"/>
    <w:rsid w:val="00580621"/>
    <w:rsid w:val="005822AD"/>
    <w:rsid w:val="0058755B"/>
    <w:rsid w:val="005912CA"/>
    <w:rsid w:val="0059398A"/>
    <w:rsid w:val="00596244"/>
    <w:rsid w:val="00596FF5"/>
    <w:rsid w:val="005A36B1"/>
    <w:rsid w:val="005B111A"/>
    <w:rsid w:val="005B509B"/>
    <w:rsid w:val="005B64E5"/>
    <w:rsid w:val="005B7C19"/>
    <w:rsid w:val="005C5D01"/>
    <w:rsid w:val="005C6CC6"/>
    <w:rsid w:val="005D05A4"/>
    <w:rsid w:val="005D356E"/>
    <w:rsid w:val="005D6BEC"/>
    <w:rsid w:val="005E05F7"/>
    <w:rsid w:val="005E067F"/>
    <w:rsid w:val="005E5564"/>
    <w:rsid w:val="005F28E5"/>
    <w:rsid w:val="005F3D18"/>
    <w:rsid w:val="005F4114"/>
    <w:rsid w:val="005F6937"/>
    <w:rsid w:val="005F77A8"/>
    <w:rsid w:val="00604C36"/>
    <w:rsid w:val="0060588A"/>
    <w:rsid w:val="006133B9"/>
    <w:rsid w:val="006133F2"/>
    <w:rsid w:val="006146F4"/>
    <w:rsid w:val="0061799F"/>
    <w:rsid w:val="006220AD"/>
    <w:rsid w:val="00625563"/>
    <w:rsid w:val="00625745"/>
    <w:rsid w:val="00630C0D"/>
    <w:rsid w:val="00640BDE"/>
    <w:rsid w:val="00641585"/>
    <w:rsid w:val="006501D8"/>
    <w:rsid w:val="00652ED3"/>
    <w:rsid w:val="0066100D"/>
    <w:rsid w:val="006611EE"/>
    <w:rsid w:val="00676FD8"/>
    <w:rsid w:val="00684404"/>
    <w:rsid w:val="00684441"/>
    <w:rsid w:val="00686486"/>
    <w:rsid w:val="0068672B"/>
    <w:rsid w:val="006917BC"/>
    <w:rsid w:val="006944CD"/>
    <w:rsid w:val="00696022"/>
    <w:rsid w:val="00696C41"/>
    <w:rsid w:val="006975CA"/>
    <w:rsid w:val="006976DC"/>
    <w:rsid w:val="006A04EF"/>
    <w:rsid w:val="006B299C"/>
    <w:rsid w:val="006B2F5E"/>
    <w:rsid w:val="006C1AAC"/>
    <w:rsid w:val="006C2AEC"/>
    <w:rsid w:val="006C3604"/>
    <w:rsid w:val="006C6A58"/>
    <w:rsid w:val="006D160F"/>
    <w:rsid w:val="006D30E1"/>
    <w:rsid w:val="006D3A48"/>
    <w:rsid w:val="006D608F"/>
    <w:rsid w:val="006E28BE"/>
    <w:rsid w:val="006E2984"/>
    <w:rsid w:val="006F4EA5"/>
    <w:rsid w:val="006F606C"/>
    <w:rsid w:val="00701B7B"/>
    <w:rsid w:val="00705E9E"/>
    <w:rsid w:val="00707F19"/>
    <w:rsid w:val="00715113"/>
    <w:rsid w:val="00715E00"/>
    <w:rsid w:val="007215E7"/>
    <w:rsid w:val="00724251"/>
    <w:rsid w:val="00724BA3"/>
    <w:rsid w:val="007250D9"/>
    <w:rsid w:val="00730BB3"/>
    <w:rsid w:val="00731A62"/>
    <w:rsid w:val="0073342F"/>
    <w:rsid w:val="007339BE"/>
    <w:rsid w:val="0074063A"/>
    <w:rsid w:val="0074065F"/>
    <w:rsid w:val="007448E1"/>
    <w:rsid w:val="00750A95"/>
    <w:rsid w:val="0075145F"/>
    <w:rsid w:val="00751C4E"/>
    <w:rsid w:val="0075233B"/>
    <w:rsid w:val="00761AED"/>
    <w:rsid w:val="00762312"/>
    <w:rsid w:val="007623C3"/>
    <w:rsid w:val="007635F9"/>
    <w:rsid w:val="00770A2F"/>
    <w:rsid w:val="00771FAF"/>
    <w:rsid w:val="00772759"/>
    <w:rsid w:val="0078068C"/>
    <w:rsid w:val="00790BAC"/>
    <w:rsid w:val="00790BBC"/>
    <w:rsid w:val="00791EAA"/>
    <w:rsid w:val="00793505"/>
    <w:rsid w:val="0079651F"/>
    <w:rsid w:val="00797899"/>
    <w:rsid w:val="007A046D"/>
    <w:rsid w:val="007A1D46"/>
    <w:rsid w:val="007A2F4B"/>
    <w:rsid w:val="007A49FC"/>
    <w:rsid w:val="007A7505"/>
    <w:rsid w:val="007B05D7"/>
    <w:rsid w:val="007B0DD8"/>
    <w:rsid w:val="007B2329"/>
    <w:rsid w:val="007B2E05"/>
    <w:rsid w:val="007B5D3C"/>
    <w:rsid w:val="007B6D14"/>
    <w:rsid w:val="007B7256"/>
    <w:rsid w:val="007E7787"/>
    <w:rsid w:val="007F1584"/>
    <w:rsid w:val="007F2F39"/>
    <w:rsid w:val="007F36FB"/>
    <w:rsid w:val="007F56FE"/>
    <w:rsid w:val="00802BE5"/>
    <w:rsid w:val="00812615"/>
    <w:rsid w:val="00813F49"/>
    <w:rsid w:val="00815103"/>
    <w:rsid w:val="0081520D"/>
    <w:rsid w:val="00816F08"/>
    <w:rsid w:val="008244BB"/>
    <w:rsid w:val="00825AB8"/>
    <w:rsid w:val="00832DF9"/>
    <w:rsid w:val="008334C2"/>
    <w:rsid w:val="0083570E"/>
    <w:rsid w:val="00840E4C"/>
    <w:rsid w:val="00841498"/>
    <w:rsid w:val="00845D30"/>
    <w:rsid w:val="00845D98"/>
    <w:rsid w:val="00854F28"/>
    <w:rsid w:val="0085545B"/>
    <w:rsid w:val="008579EB"/>
    <w:rsid w:val="00860066"/>
    <w:rsid w:val="00864A6F"/>
    <w:rsid w:val="00864BA8"/>
    <w:rsid w:val="008650BF"/>
    <w:rsid w:val="008717BD"/>
    <w:rsid w:val="0087775E"/>
    <w:rsid w:val="00877C76"/>
    <w:rsid w:val="008809B4"/>
    <w:rsid w:val="00880B86"/>
    <w:rsid w:val="00880BB0"/>
    <w:rsid w:val="00881AD6"/>
    <w:rsid w:val="00886B83"/>
    <w:rsid w:val="00890415"/>
    <w:rsid w:val="00892FFD"/>
    <w:rsid w:val="00893ED6"/>
    <w:rsid w:val="008A0048"/>
    <w:rsid w:val="008A4DC6"/>
    <w:rsid w:val="008A5D32"/>
    <w:rsid w:val="008A6F44"/>
    <w:rsid w:val="008A74AA"/>
    <w:rsid w:val="008B2361"/>
    <w:rsid w:val="008B4AD6"/>
    <w:rsid w:val="008B7E6C"/>
    <w:rsid w:val="008C1E79"/>
    <w:rsid w:val="008C591F"/>
    <w:rsid w:val="008C7139"/>
    <w:rsid w:val="008D1798"/>
    <w:rsid w:val="008D1C49"/>
    <w:rsid w:val="008D4326"/>
    <w:rsid w:val="008E5B3E"/>
    <w:rsid w:val="008E6340"/>
    <w:rsid w:val="008F05AC"/>
    <w:rsid w:val="008F2148"/>
    <w:rsid w:val="008F386E"/>
    <w:rsid w:val="0090030E"/>
    <w:rsid w:val="00901776"/>
    <w:rsid w:val="00902923"/>
    <w:rsid w:val="0090586E"/>
    <w:rsid w:val="00921AA9"/>
    <w:rsid w:val="00923B01"/>
    <w:rsid w:val="00923D9F"/>
    <w:rsid w:val="00924B5D"/>
    <w:rsid w:val="00925F01"/>
    <w:rsid w:val="00926B79"/>
    <w:rsid w:val="009325EE"/>
    <w:rsid w:val="0093407B"/>
    <w:rsid w:val="0093412C"/>
    <w:rsid w:val="00941A5B"/>
    <w:rsid w:val="0094266A"/>
    <w:rsid w:val="0094634A"/>
    <w:rsid w:val="0094790D"/>
    <w:rsid w:val="00951D6A"/>
    <w:rsid w:val="0095345A"/>
    <w:rsid w:val="00955400"/>
    <w:rsid w:val="009560C2"/>
    <w:rsid w:val="00970E6F"/>
    <w:rsid w:val="009720D3"/>
    <w:rsid w:val="009730D7"/>
    <w:rsid w:val="00973AE6"/>
    <w:rsid w:val="009748AF"/>
    <w:rsid w:val="00980A29"/>
    <w:rsid w:val="009826AD"/>
    <w:rsid w:val="009836DA"/>
    <w:rsid w:val="009862A7"/>
    <w:rsid w:val="00987C28"/>
    <w:rsid w:val="0099095F"/>
    <w:rsid w:val="00990EDB"/>
    <w:rsid w:val="0099241C"/>
    <w:rsid w:val="00992F4B"/>
    <w:rsid w:val="0099372E"/>
    <w:rsid w:val="009B3A65"/>
    <w:rsid w:val="009C03F9"/>
    <w:rsid w:val="009C177F"/>
    <w:rsid w:val="009C3967"/>
    <w:rsid w:val="009C3CE0"/>
    <w:rsid w:val="009C6233"/>
    <w:rsid w:val="009C7C0A"/>
    <w:rsid w:val="009D603C"/>
    <w:rsid w:val="009D6972"/>
    <w:rsid w:val="009D6A29"/>
    <w:rsid w:val="009E04D9"/>
    <w:rsid w:val="009E0FB1"/>
    <w:rsid w:val="009E3663"/>
    <w:rsid w:val="009F2A72"/>
    <w:rsid w:val="009F32D9"/>
    <w:rsid w:val="009F3529"/>
    <w:rsid w:val="009F4791"/>
    <w:rsid w:val="009F5D27"/>
    <w:rsid w:val="00A01142"/>
    <w:rsid w:val="00A0449C"/>
    <w:rsid w:val="00A1112F"/>
    <w:rsid w:val="00A14148"/>
    <w:rsid w:val="00A17920"/>
    <w:rsid w:val="00A17E97"/>
    <w:rsid w:val="00A210B8"/>
    <w:rsid w:val="00A24019"/>
    <w:rsid w:val="00A312D1"/>
    <w:rsid w:val="00A35521"/>
    <w:rsid w:val="00A35993"/>
    <w:rsid w:val="00A364AB"/>
    <w:rsid w:val="00A36FE4"/>
    <w:rsid w:val="00A3781A"/>
    <w:rsid w:val="00A37DEA"/>
    <w:rsid w:val="00A41295"/>
    <w:rsid w:val="00A41679"/>
    <w:rsid w:val="00A44614"/>
    <w:rsid w:val="00A44C81"/>
    <w:rsid w:val="00A51B18"/>
    <w:rsid w:val="00A55DBD"/>
    <w:rsid w:val="00A60631"/>
    <w:rsid w:val="00A61035"/>
    <w:rsid w:val="00A62DCC"/>
    <w:rsid w:val="00A658A3"/>
    <w:rsid w:val="00A66CAB"/>
    <w:rsid w:val="00A72DDE"/>
    <w:rsid w:val="00A74455"/>
    <w:rsid w:val="00A77786"/>
    <w:rsid w:val="00A77B1B"/>
    <w:rsid w:val="00A86B05"/>
    <w:rsid w:val="00A87E65"/>
    <w:rsid w:val="00A9068D"/>
    <w:rsid w:val="00A90950"/>
    <w:rsid w:val="00A92A7F"/>
    <w:rsid w:val="00A95489"/>
    <w:rsid w:val="00AA309B"/>
    <w:rsid w:val="00AA6985"/>
    <w:rsid w:val="00AA716F"/>
    <w:rsid w:val="00AB0360"/>
    <w:rsid w:val="00AB1544"/>
    <w:rsid w:val="00AB1B0C"/>
    <w:rsid w:val="00AB291A"/>
    <w:rsid w:val="00AC1484"/>
    <w:rsid w:val="00AC23BD"/>
    <w:rsid w:val="00AC2987"/>
    <w:rsid w:val="00AC3E06"/>
    <w:rsid w:val="00AC5B71"/>
    <w:rsid w:val="00AC5F7F"/>
    <w:rsid w:val="00AC6A17"/>
    <w:rsid w:val="00AC7482"/>
    <w:rsid w:val="00AC75A1"/>
    <w:rsid w:val="00AD2ABA"/>
    <w:rsid w:val="00AD4715"/>
    <w:rsid w:val="00AD5D8A"/>
    <w:rsid w:val="00AD5D91"/>
    <w:rsid w:val="00AD5EEE"/>
    <w:rsid w:val="00AD69D4"/>
    <w:rsid w:val="00AE2AF3"/>
    <w:rsid w:val="00AE4604"/>
    <w:rsid w:val="00AE4D26"/>
    <w:rsid w:val="00AF2566"/>
    <w:rsid w:val="00B031F0"/>
    <w:rsid w:val="00B03F5F"/>
    <w:rsid w:val="00B165B3"/>
    <w:rsid w:val="00B16A43"/>
    <w:rsid w:val="00B20A1E"/>
    <w:rsid w:val="00B30B98"/>
    <w:rsid w:val="00B311FE"/>
    <w:rsid w:val="00B41365"/>
    <w:rsid w:val="00B4303A"/>
    <w:rsid w:val="00B4311E"/>
    <w:rsid w:val="00B44D03"/>
    <w:rsid w:val="00B51201"/>
    <w:rsid w:val="00B53CE4"/>
    <w:rsid w:val="00B54751"/>
    <w:rsid w:val="00B56D90"/>
    <w:rsid w:val="00B60336"/>
    <w:rsid w:val="00B622EE"/>
    <w:rsid w:val="00B62BAA"/>
    <w:rsid w:val="00B633F0"/>
    <w:rsid w:val="00B640A3"/>
    <w:rsid w:val="00B648E1"/>
    <w:rsid w:val="00B6585D"/>
    <w:rsid w:val="00B72ED5"/>
    <w:rsid w:val="00B73132"/>
    <w:rsid w:val="00B752B5"/>
    <w:rsid w:val="00B76948"/>
    <w:rsid w:val="00B7736C"/>
    <w:rsid w:val="00B84C92"/>
    <w:rsid w:val="00B91C45"/>
    <w:rsid w:val="00B92103"/>
    <w:rsid w:val="00B94E10"/>
    <w:rsid w:val="00B973C1"/>
    <w:rsid w:val="00BA3559"/>
    <w:rsid w:val="00BA3A50"/>
    <w:rsid w:val="00BA4FC0"/>
    <w:rsid w:val="00BB336A"/>
    <w:rsid w:val="00BB54F8"/>
    <w:rsid w:val="00BC14CC"/>
    <w:rsid w:val="00BC31DA"/>
    <w:rsid w:val="00BD2D3E"/>
    <w:rsid w:val="00BD7597"/>
    <w:rsid w:val="00BE0876"/>
    <w:rsid w:val="00BE332A"/>
    <w:rsid w:val="00BE5377"/>
    <w:rsid w:val="00BF57D8"/>
    <w:rsid w:val="00BF60AA"/>
    <w:rsid w:val="00BF72B3"/>
    <w:rsid w:val="00BF7750"/>
    <w:rsid w:val="00C0148C"/>
    <w:rsid w:val="00C15B74"/>
    <w:rsid w:val="00C20CF2"/>
    <w:rsid w:val="00C2231E"/>
    <w:rsid w:val="00C26728"/>
    <w:rsid w:val="00C279C9"/>
    <w:rsid w:val="00C30A55"/>
    <w:rsid w:val="00C34710"/>
    <w:rsid w:val="00C37A9B"/>
    <w:rsid w:val="00C46D7D"/>
    <w:rsid w:val="00C5260F"/>
    <w:rsid w:val="00C54796"/>
    <w:rsid w:val="00C550C6"/>
    <w:rsid w:val="00C57539"/>
    <w:rsid w:val="00C624F2"/>
    <w:rsid w:val="00C62704"/>
    <w:rsid w:val="00C67C14"/>
    <w:rsid w:val="00C70C21"/>
    <w:rsid w:val="00C730DC"/>
    <w:rsid w:val="00C743C1"/>
    <w:rsid w:val="00C74612"/>
    <w:rsid w:val="00C74B14"/>
    <w:rsid w:val="00C75CA4"/>
    <w:rsid w:val="00C775EF"/>
    <w:rsid w:val="00C77A44"/>
    <w:rsid w:val="00C83D4F"/>
    <w:rsid w:val="00C83D7F"/>
    <w:rsid w:val="00C946F7"/>
    <w:rsid w:val="00C958AD"/>
    <w:rsid w:val="00CA0E20"/>
    <w:rsid w:val="00CA1369"/>
    <w:rsid w:val="00CA47E6"/>
    <w:rsid w:val="00CA4F4B"/>
    <w:rsid w:val="00CA5BC9"/>
    <w:rsid w:val="00CA6E2D"/>
    <w:rsid w:val="00CA785B"/>
    <w:rsid w:val="00CB004D"/>
    <w:rsid w:val="00CB3FED"/>
    <w:rsid w:val="00CB4123"/>
    <w:rsid w:val="00CB71A9"/>
    <w:rsid w:val="00CB728A"/>
    <w:rsid w:val="00CB77A9"/>
    <w:rsid w:val="00CC4932"/>
    <w:rsid w:val="00CC66FC"/>
    <w:rsid w:val="00CD0E66"/>
    <w:rsid w:val="00CD14E5"/>
    <w:rsid w:val="00CD4229"/>
    <w:rsid w:val="00CD447D"/>
    <w:rsid w:val="00CD5BF6"/>
    <w:rsid w:val="00CD6175"/>
    <w:rsid w:val="00CE0F58"/>
    <w:rsid w:val="00CE107A"/>
    <w:rsid w:val="00CF0F3C"/>
    <w:rsid w:val="00CF3379"/>
    <w:rsid w:val="00CF772C"/>
    <w:rsid w:val="00CF780D"/>
    <w:rsid w:val="00D028E1"/>
    <w:rsid w:val="00D036BB"/>
    <w:rsid w:val="00D03728"/>
    <w:rsid w:val="00D05732"/>
    <w:rsid w:val="00D061CB"/>
    <w:rsid w:val="00D07474"/>
    <w:rsid w:val="00D10777"/>
    <w:rsid w:val="00D10A7B"/>
    <w:rsid w:val="00D1192A"/>
    <w:rsid w:val="00D200AC"/>
    <w:rsid w:val="00D23E1D"/>
    <w:rsid w:val="00D27C2B"/>
    <w:rsid w:val="00D31385"/>
    <w:rsid w:val="00D34668"/>
    <w:rsid w:val="00D351A3"/>
    <w:rsid w:val="00D37DDB"/>
    <w:rsid w:val="00D40304"/>
    <w:rsid w:val="00D437DF"/>
    <w:rsid w:val="00D43FA1"/>
    <w:rsid w:val="00D50EF5"/>
    <w:rsid w:val="00D51E9B"/>
    <w:rsid w:val="00D54087"/>
    <w:rsid w:val="00D60BD6"/>
    <w:rsid w:val="00D6231A"/>
    <w:rsid w:val="00D65EBC"/>
    <w:rsid w:val="00D665E6"/>
    <w:rsid w:val="00D74FB3"/>
    <w:rsid w:val="00D756B2"/>
    <w:rsid w:val="00D77A51"/>
    <w:rsid w:val="00D80B3F"/>
    <w:rsid w:val="00D9176E"/>
    <w:rsid w:val="00D91D8B"/>
    <w:rsid w:val="00D92385"/>
    <w:rsid w:val="00DA2ACE"/>
    <w:rsid w:val="00DA3AFB"/>
    <w:rsid w:val="00DA48A4"/>
    <w:rsid w:val="00DA75DC"/>
    <w:rsid w:val="00DB0842"/>
    <w:rsid w:val="00DB7E3F"/>
    <w:rsid w:val="00DC386C"/>
    <w:rsid w:val="00DC78B6"/>
    <w:rsid w:val="00DD1AB1"/>
    <w:rsid w:val="00DD1B7D"/>
    <w:rsid w:val="00DD75CF"/>
    <w:rsid w:val="00DE701B"/>
    <w:rsid w:val="00DF1FAE"/>
    <w:rsid w:val="00DF50C4"/>
    <w:rsid w:val="00E0508E"/>
    <w:rsid w:val="00E10089"/>
    <w:rsid w:val="00E133CB"/>
    <w:rsid w:val="00E13A24"/>
    <w:rsid w:val="00E206C5"/>
    <w:rsid w:val="00E22B75"/>
    <w:rsid w:val="00E25F81"/>
    <w:rsid w:val="00E3107D"/>
    <w:rsid w:val="00E3318D"/>
    <w:rsid w:val="00E338D7"/>
    <w:rsid w:val="00E339F6"/>
    <w:rsid w:val="00E3601B"/>
    <w:rsid w:val="00E42AC4"/>
    <w:rsid w:val="00E43250"/>
    <w:rsid w:val="00E435CE"/>
    <w:rsid w:val="00E461C5"/>
    <w:rsid w:val="00E5411B"/>
    <w:rsid w:val="00E54652"/>
    <w:rsid w:val="00E55770"/>
    <w:rsid w:val="00E6019E"/>
    <w:rsid w:val="00E60EF2"/>
    <w:rsid w:val="00E64E0B"/>
    <w:rsid w:val="00E659E7"/>
    <w:rsid w:val="00E67A9E"/>
    <w:rsid w:val="00E76A24"/>
    <w:rsid w:val="00E91872"/>
    <w:rsid w:val="00E9566B"/>
    <w:rsid w:val="00E96964"/>
    <w:rsid w:val="00EA0DD1"/>
    <w:rsid w:val="00EA1467"/>
    <w:rsid w:val="00EC21D8"/>
    <w:rsid w:val="00ED10CA"/>
    <w:rsid w:val="00ED4716"/>
    <w:rsid w:val="00EE1DFC"/>
    <w:rsid w:val="00EE232F"/>
    <w:rsid w:val="00EE2FE6"/>
    <w:rsid w:val="00EE32C1"/>
    <w:rsid w:val="00EE67BE"/>
    <w:rsid w:val="00EF244A"/>
    <w:rsid w:val="00EF2FA0"/>
    <w:rsid w:val="00EF4045"/>
    <w:rsid w:val="00EF5EB3"/>
    <w:rsid w:val="00EF7F91"/>
    <w:rsid w:val="00F013E6"/>
    <w:rsid w:val="00F026C5"/>
    <w:rsid w:val="00F032FF"/>
    <w:rsid w:val="00F03C72"/>
    <w:rsid w:val="00F03E2B"/>
    <w:rsid w:val="00F04EA9"/>
    <w:rsid w:val="00F102E5"/>
    <w:rsid w:val="00F12DA7"/>
    <w:rsid w:val="00F20592"/>
    <w:rsid w:val="00F21026"/>
    <w:rsid w:val="00F272FA"/>
    <w:rsid w:val="00F31E5F"/>
    <w:rsid w:val="00F33655"/>
    <w:rsid w:val="00F41535"/>
    <w:rsid w:val="00F415EB"/>
    <w:rsid w:val="00F470C3"/>
    <w:rsid w:val="00F4788F"/>
    <w:rsid w:val="00F5256B"/>
    <w:rsid w:val="00F53F9E"/>
    <w:rsid w:val="00F56674"/>
    <w:rsid w:val="00F677B7"/>
    <w:rsid w:val="00F72538"/>
    <w:rsid w:val="00F725D2"/>
    <w:rsid w:val="00F7370F"/>
    <w:rsid w:val="00F7429E"/>
    <w:rsid w:val="00F75CE5"/>
    <w:rsid w:val="00F75F8A"/>
    <w:rsid w:val="00F7600D"/>
    <w:rsid w:val="00F80145"/>
    <w:rsid w:val="00F823EE"/>
    <w:rsid w:val="00F82CB6"/>
    <w:rsid w:val="00F85912"/>
    <w:rsid w:val="00F9061E"/>
    <w:rsid w:val="00FA0826"/>
    <w:rsid w:val="00FA0846"/>
    <w:rsid w:val="00FA474C"/>
    <w:rsid w:val="00FA57AC"/>
    <w:rsid w:val="00FA6C8C"/>
    <w:rsid w:val="00FB1254"/>
    <w:rsid w:val="00FB2516"/>
    <w:rsid w:val="00FB52D8"/>
    <w:rsid w:val="00FB7664"/>
    <w:rsid w:val="00FC030A"/>
    <w:rsid w:val="00FC25D5"/>
    <w:rsid w:val="00FC5426"/>
    <w:rsid w:val="00FD0C92"/>
    <w:rsid w:val="00FD3EA7"/>
    <w:rsid w:val="00FD62B1"/>
    <w:rsid w:val="00FE0515"/>
    <w:rsid w:val="00FE4222"/>
    <w:rsid w:val="00FE46D1"/>
    <w:rsid w:val="00FE5D71"/>
    <w:rsid w:val="00FE747B"/>
    <w:rsid w:val="00FF0610"/>
    <w:rsid w:val="00FF065F"/>
    <w:rsid w:val="00FF257A"/>
    <w:rsid w:val="00FF2885"/>
    <w:rsid w:val="00FF6CA3"/>
    <w:rsid w:val="00FF7E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A5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6C6A58"/>
  </w:style>
  <w:style w:type="character" w:customStyle="1" w:styleId="Hypertext">
    <w:name w:val="Hypertext"/>
    <w:uiPriority w:val="99"/>
    <w:rsid w:val="006C6A58"/>
    <w:rPr>
      <w:color w:val="0000FF"/>
      <w:u w:val="single"/>
    </w:rPr>
  </w:style>
  <w:style w:type="character" w:customStyle="1" w:styleId="a">
    <w:name w:val="_"/>
    <w:uiPriority w:val="99"/>
    <w:rsid w:val="006C6A58"/>
  </w:style>
  <w:style w:type="paragraph" w:customStyle="1" w:styleId="Level1">
    <w:name w:val="Level 1"/>
    <w:basedOn w:val="Normal"/>
    <w:uiPriority w:val="99"/>
    <w:rsid w:val="006C6A58"/>
    <w:pPr>
      <w:ind w:left="720" w:hanging="720"/>
    </w:pPr>
  </w:style>
  <w:style w:type="paragraph" w:styleId="Header">
    <w:name w:val="header"/>
    <w:basedOn w:val="Normal"/>
    <w:link w:val="HeaderChar"/>
    <w:uiPriority w:val="99"/>
    <w:unhideWhenUsed/>
    <w:rsid w:val="006C6A58"/>
    <w:pPr>
      <w:tabs>
        <w:tab w:val="center" w:pos="4680"/>
        <w:tab w:val="right" w:pos="9360"/>
      </w:tabs>
    </w:pPr>
  </w:style>
  <w:style w:type="character" w:customStyle="1" w:styleId="HeaderChar">
    <w:name w:val="Header Char"/>
    <w:basedOn w:val="DefaultParagraphFont"/>
    <w:link w:val="Header"/>
    <w:uiPriority w:val="99"/>
    <w:rsid w:val="006C6A58"/>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6C6A58"/>
    <w:pPr>
      <w:tabs>
        <w:tab w:val="center" w:pos="4680"/>
        <w:tab w:val="right" w:pos="9360"/>
      </w:tabs>
    </w:pPr>
  </w:style>
  <w:style w:type="character" w:customStyle="1" w:styleId="FooterChar">
    <w:name w:val="Footer Char"/>
    <w:basedOn w:val="DefaultParagraphFont"/>
    <w:link w:val="Footer"/>
    <w:uiPriority w:val="99"/>
    <w:semiHidden/>
    <w:rsid w:val="006C6A58"/>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C6A58"/>
    <w:rPr>
      <w:sz w:val="16"/>
      <w:szCs w:val="16"/>
    </w:rPr>
  </w:style>
  <w:style w:type="paragraph" w:styleId="CommentText">
    <w:name w:val="annotation text"/>
    <w:basedOn w:val="Normal"/>
    <w:link w:val="CommentTextChar"/>
    <w:uiPriority w:val="99"/>
    <w:unhideWhenUsed/>
    <w:rsid w:val="006C6A58"/>
    <w:rPr>
      <w:sz w:val="20"/>
      <w:szCs w:val="20"/>
    </w:rPr>
  </w:style>
  <w:style w:type="character" w:customStyle="1" w:styleId="CommentTextChar">
    <w:name w:val="Comment Text Char"/>
    <w:basedOn w:val="DefaultParagraphFont"/>
    <w:link w:val="CommentText"/>
    <w:uiPriority w:val="99"/>
    <w:rsid w:val="006C6A5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C6A58"/>
    <w:rPr>
      <w:b/>
      <w:bCs/>
    </w:rPr>
  </w:style>
  <w:style w:type="character" w:customStyle="1" w:styleId="CommentSubjectChar">
    <w:name w:val="Comment Subject Char"/>
    <w:basedOn w:val="CommentTextChar"/>
    <w:link w:val="CommentSubject"/>
    <w:uiPriority w:val="99"/>
    <w:semiHidden/>
    <w:rsid w:val="006C6A5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C6A58"/>
    <w:rPr>
      <w:rFonts w:ascii="Tahoma" w:hAnsi="Tahoma" w:cs="Tahoma"/>
      <w:sz w:val="16"/>
      <w:szCs w:val="16"/>
    </w:rPr>
  </w:style>
  <w:style w:type="character" w:customStyle="1" w:styleId="BalloonTextChar">
    <w:name w:val="Balloon Text Char"/>
    <w:basedOn w:val="DefaultParagraphFont"/>
    <w:link w:val="BalloonText"/>
    <w:uiPriority w:val="99"/>
    <w:semiHidden/>
    <w:rsid w:val="006C6A58"/>
    <w:rPr>
      <w:rFonts w:ascii="Tahoma" w:eastAsia="Times New Roman" w:hAnsi="Tahoma" w:cs="Tahoma"/>
      <w:sz w:val="16"/>
      <w:szCs w:val="16"/>
    </w:rPr>
  </w:style>
  <w:style w:type="paragraph" w:styleId="Revision">
    <w:name w:val="Revision"/>
    <w:hidden/>
    <w:uiPriority w:val="99"/>
    <w:semiHidden/>
    <w:rsid w:val="006C6A58"/>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C6A58"/>
    <w:rPr>
      <w:color w:val="0000FF"/>
      <w:u w:val="single"/>
    </w:rPr>
  </w:style>
  <w:style w:type="character" w:styleId="FollowedHyperlink">
    <w:name w:val="FollowedHyperlink"/>
    <w:basedOn w:val="DefaultParagraphFont"/>
    <w:uiPriority w:val="99"/>
    <w:semiHidden/>
    <w:unhideWhenUsed/>
    <w:rsid w:val="006C6A58"/>
    <w:rPr>
      <w:color w:val="800080"/>
      <w:u w:val="single"/>
    </w:rPr>
  </w:style>
  <w:style w:type="paragraph" w:styleId="NormalWeb">
    <w:name w:val="Normal (Web)"/>
    <w:basedOn w:val="Normal"/>
    <w:uiPriority w:val="99"/>
    <w:semiHidden/>
    <w:unhideWhenUsed/>
    <w:rsid w:val="001E001E"/>
    <w:pPr>
      <w:widowControl/>
      <w:autoSpaceDE/>
      <w:autoSpaceDN/>
      <w:adjustRightInd/>
      <w:spacing w:before="100" w:beforeAutospacing="1" w:after="100" w:afterAutospacing="1"/>
    </w:pPr>
  </w:style>
  <w:style w:type="paragraph" w:styleId="ListParagraph">
    <w:name w:val="List Paragraph"/>
    <w:basedOn w:val="Normal"/>
    <w:uiPriority w:val="34"/>
    <w:qFormat/>
    <w:rsid w:val="00EA0DD1"/>
    <w:pPr>
      <w:ind w:left="720"/>
      <w:contextualSpacing/>
    </w:pPr>
  </w:style>
  <w:style w:type="paragraph" w:styleId="NoSpacing">
    <w:name w:val="No Spacing"/>
    <w:uiPriority w:val="1"/>
    <w:qFormat/>
    <w:rsid w:val="00D351A3"/>
    <w:pPr>
      <w:widowControl w:val="0"/>
      <w:autoSpaceDE w:val="0"/>
      <w:autoSpaceDN w:val="0"/>
      <w:adjustRightInd w:val="0"/>
      <w:spacing w:after="0" w:line="240" w:lineRule="auto"/>
    </w:pPr>
    <w:rPr>
      <w:rFonts w:ascii="Arial" w:eastAsia="Times New Roman" w:hAnsi="Arial" w:cs="Times New Roman"/>
      <w:sz w:val="24"/>
      <w:szCs w:val="24"/>
    </w:rPr>
  </w:style>
  <w:style w:type="character" w:styleId="Strong">
    <w:name w:val="Strong"/>
    <w:basedOn w:val="DefaultParagraphFont"/>
    <w:uiPriority w:val="22"/>
    <w:qFormat/>
    <w:rsid w:val="005D356E"/>
    <w:rPr>
      <w:b/>
      <w:bCs/>
    </w:rPr>
  </w:style>
</w:styles>
</file>

<file path=word/webSettings.xml><?xml version="1.0" encoding="utf-8"?>
<w:webSettings xmlns:r="http://schemas.openxmlformats.org/officeDocument/2006/relationships" xmlns:w="http://schemas.openxmlformats.org/wordprocessingml/2006/main">
  <w:divs>
    <w:div w:id="532113358">
      <w:bodyDiv w:val="1"/>
      <w:marLeft w:val="0"/>
      <w:marRight w:val="0"/>
      <w:marTop w:val="0"/>
      <w:marBottom w:val="0"/>
      <w:divBdr>
        <w:top w:val="none" w:sz="0" w:space="0" w:color="auto"/>
        <w:left w:val="none" w:sz="0" w:space="0" w:color="auto"/>
        <w:bottom w:val="none" w:sz="0" w:space="0" w:color="auto"/>
        <w:right w:val="none" w:sz="0" w:space="0" w:color="auto"/>
      </w:divBdr>
      <w:divsChild>
        <w:div w:id="147863089">
          <w:marLeft w:val="547"/>
          <w:marRight w:val="0"/>
          <w:marTop w:val="48"/>
          <w:marBottom w:val="0"/>
          <w:divBdr>
            <w:top w:val="none" w:sz="0" w:space="0" w:color="auto"/>
            <w:left w:val="none" w:sz="0" w:space="0" w:color="auto"/>
            <w:bottom w:val="none" w:sz="0" w:space="0" w:color="auto"/>
            <w:right w:val="none" w:sz="0" w:space="0" w:color="auto"/>
          </w:divBdr>
        </w:div>
      </w:divsChild>
    </w:div>
    <w:div w:id="1039361113">
      <w:bodyDiv w:val="1"/>
      <w:marLeft w:val="0"/>
      <w:marRight w:val="0"/>
      <w:marTop w:val="0"/>
      <w:marBottom w:val="0"/>
      <w:divBdr>
        <w:top w:val="none" w:sz="0" w:space="0" w:color="auto"/>
        <w:left w:val="none" w:sz="0" w:space="0" w:color="auto"/>
        <w:bottom w:val="none" w:sz="0" w:space="0" w:color="auto"/>
        <w:right w:val="none" w:sz="0" w:space="0" w:color="auto"/>
      </w:divBdr>
    </w:div>
    <w:div w:id="1257712723">
      <w:bodyDiv w:val="1"/>
      <w:marLeft w:val="0"/>
      <w:marRight w:val="0"/>
      <w:marTop w:val="0"/>
      <w:marBottom w:val="0"/>
      <w:divBdr>
        <w:top w:val="none" w:sz="0" w:space="0" w:color="auto"/>
        <w:left w:val="none" w:sz="0" w:space="0" w:color="auto"/>
        <w:bottom w:val="none" w:sz="0" w:space="0" w:color="auto"/>
        <w:right w:val="none" w:sz="0" w:space="0" w:color="auto"/>
      </w:divBdr>
    </w:div>
    <w:div w:id="1643459973">
      <w:bodyDiv w:val="1"/>
      <w:marLeft w:val="0"/>
      <w:marRight w:val="0"/>
      <w:marTop w:val="0"/>
      <w:marBottom w:val="0"/>
      <w:divBdr>
        <w:top w:val="none" w:sz="0" w:space="0" w:color="auto"/>
        <w:left w:val="none" w:sz="0" w:space="0" w:color="auto"/>
        <w:bottom w:val="none" w:sz="0" w:space="0" w:color="auto"/>
        <w:right w:val="none" w:sz="0" w:space="0" w:color="auto"/>
      </w:divBdr>
      <w:divsChild>
        <w:div w:id="1074232221">
          <w:marLeft w:val="547"/>
          <w:marRight w:val="0"/>
          <w:marTop w:val="48"/>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83E44-0854-4806-8E0B-83E32224F936}">
  <ds:schemaRefs>
    <ds:schemaRef ds:uri="http://schemas.openxmlformats.org/officeDocument/2006/bibliography"/>
  </ds:schemaRefs>
</ds:datastoreItem>
</file>

<file path=customXml/itemProps2.xml><?xml version="1.0" encoding="utf-8"?>
<ds:datastoreItem xmlns:ds="http://schemas.openxmlformats.org/officeDocument/2006/customXml" ds:itemID="{BAB05F6B-B50E-4776-AFB6-B3394D838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4786</Words>
  <Characters>27282</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NYSDEC</Company>
  <LinksUpToDate>false</LinksUpToDate>
  <CharactersWithSpaces>32004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NYSDEC</dc:creator>
  <cp:lastModifiedBy>gvdesai</cp:lastModifiedBy>
  <cp:revision>2</cp:revision>
  <cp:lastPrinted>2013-10-30T15:05:00Z</cp:lastPrinted>
  <dcterms:created xsi:type="dcterms:W3CDTF">2014-06-10T13:04:00Z</dcterms:created>
  <dcterms:modified xsi:type="dcterms:W3CDTF">2014-06-10T13:04:00Z</dcterms:modified>
</cp:coreProperties>
</file>