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37742287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>NYSDEC Contract No. D0</w:t>
            </w:r>
            <w:r>
              <w:rPr>
                <w:b/>
                <w:sz w:val="22"/>
                <w:szCs w:val="18"/>
              </w:rPr>
              <w:t xml:space="preserve">11107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26B7F1CF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  <w:r w:rsidR="00C900D6">
              <w:rPr>
                <w:sz w:val="18"/>
                <w:szCs w:val="18"/>
              </w:rPr>
              <w:t xml:space="preserve"> Payson Long</w:t>
            </w:r>
          </w:p>
          <w:p w14:paraId="388F6057" w14:textId="32F878A3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  <w:r w:rsidR="00F80754">
              <w:rPr>
                <w:sz w:val="18"/>
                <w:szCs w:val="18"/>
              </w:rPr>
              <w:t>David Feinson</w:t>
            </w:r>
          </w:p>
          <w:p w14:paraId="2E0899D2" w14:textId="759065AB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  <w:r w:rsidR="00F80754">
              <w:rPr>
                <w:sz w:val="18"/>
                <w:szCs w:val="18"/>
              </w:rPr>
              <w:t xml:space="preserve"> Kristen Amodeo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1A2905A6" w:rsidR="005D3A11" w:rsidRPr="004C56C3" w:rsidRDefault="00C47CBC" w:rsidP="009758EF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9758EF">
              <w:t>Former Stanton Cleaners, Great Neck, NY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6027F52B" w:rsidR="00B33111" w:rsidRDefault="0017054F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Partly cloudy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1B44F60F" w:rsidR="00B33111" w:rsidRDefault="0017054F" w:rsidP="00E816B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Cloudy/ rain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78D413A7" w:rsidR="00B33111" w:rsidRPr="00067ECD" w:rsidRDefault="00F80754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1EF0" w14:textId="77777777" w:rsidR="00B33111" w:rsidRPr="006B4D45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3B68A3E0" w:rsidR="00B33111" w:rsidRPr="00067ECD" w:rsidRDefault="00FB186C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80754">
              <w:rPr>
                <w:sz w:val="18"/>
                <w:szCs w:val="18"/>
              </w:rPr>
              <w:t>0s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899" w14:textId="395EF349" w:rsidR="005D3A11" w:rsidRPr="00564E1B" w:rsidRDefault="00FB186C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northeast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66154254" w:rsidR="005D3A11" w:rsidRPr="002F2BEA" w:rsidRDefault="005D3A11" w:rsidP="00063A5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7E6CBDA1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598293A5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No  </w:t>
            </w:r>
            <w:r w:rsidR="009758EF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01671622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9758EF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</w:t>
            </w:r>
            <w:proofErr w:type="gramStart"/>
            <w:r w:rsidRPr="006B4D45">
              <w:rPr>
                <w:sz w:val="18"/>
                <w:szCs w:val="18"/>
              </w:rPr>
              <w:t>reported/observed</w:t>
            </w:r>
            <w:proofErr w:type="gramEnd"/>
            <w:r w:rsidRPr="006B4D45">
              <w:rPr>
                <w:sz w:val="18"/>
                <w:szCs w:val="18"/>
              </w:rPr>
              <w:t xml:space="preserve">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6AC8CD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9758EF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8A3C2" w14:textId="4575695F" w:rsidR="008E2EE5" w:rsidRDefault="00F8075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orientation</w:t>
            </w:r>
          </w:p>
          <w:p w14:paraId="30D4E05B" w14:textId="77777777" w:rsidR="008E2EE5" w:rsidRDefault="00F8075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Parking utilized by school </w:t>
            </w:r>
          </w:p>
          <w:p w14:paraId="4F61D4D8" w14:textId="11C84934" w:rsidR="00A86976" w:rsidRPr="006B4D45" w:rsidRDefault="00A8697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Potential storm, stop work when lightning</w:t>
            </w: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336CF3B1" w:rsidR="00CB0F43" w:rsidRPr="00CB0F43" w:rsidRDefault="00FB186C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06</w:t>
            </w:r>
            <w:r w:rsidR="00F80754">
              <w:rPr>
                <w:sz w:val="20"/>
              </w:rPr>
              <w:t>00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6A674638" w:rsidR="00CB0F43" w:rsidRPr="00F80754" w:rsidRDefault="00F80754" w:rsidP="00CB0F43">
            <w:pPr>
              <w:widowControl/>
              <w:rPr>
                <w:sz w:val="20"/>
              </w:rPr>
            </w:pPr>
            <w:r w:rsidRPr="00F80754">
              <w:rPr>
                <w:sz w:val="20"/>
              </w:rPr>
              <w:t>1</w:t>
            </w:r>
            <w:r w:rsidR="00FB186C">
              <w:rPr>
                <w:sz w:val="20"/>
              </w:rPr>
              <w:t>7</w:t>
            </w:r>
            <w:r w:rsidR="00476BD9">
              <w:rPr>
                <w:sz w:val="20"/>
              </w:rPr>
              <w:t>00</w:t>
            </w:r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225E9B" w14:textId="040EE466" w:rsidR="00A86976" w:rsidRDefault="00CB714F" w:rsidP="00A8697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Crew tried installing PVC but hit refusal at 40 feet. The crew enlarged and cleaned the bore and was able to successfully install the PVC</w:t>
            </w:r>
            <w:r w:rsidR="00516D69">
              <w:rPr>
                <w:sz w:val="18"/>
                <w:szCs w:val="18"/>
              </w:rPr>
              <w:t xml:space="preserve"> Sheen was observed during cleaning of bore, no PID hit was detected in waste water at bottom of well  hole. Well construction was</w:t>
            </w:r>
            <w:r w:rsidR="00F90B26">
              <w:rPr>
                <w:sz w:val="18"/>
                <w:szCs w:val="18"/>
              </w:rPr>
              <w:t xml:space="preserve"> 50-feet 3inch schedule 80 PVC riser, 50 feet 3 inch schedule 80 PVC well </w:t>
            </w:r>
            <w:proofErr w:type="gramStart"/>
            <w:r w:rsidR="00F90B26">
              <w:rPr>
                <w:sz w:val="18"/>
                <w:szCs w:val="18"/>
              </w:rPr>
              <w:t>screen</w:t>
            </w:r>
            <w:proofErr w:type="gramEnd"/>
            <w:r w:rsidR="00F90B26">
              <w:rPr>
                <w:sz w:val="18"/>
                <w:szCs w:val="18"/>
              </w:rPr>
              <w:t>, 0.010in slot.</w:t>
            </w:r>
            <w:r>
              <w:rPr>
                <w:sz w:val="18"/>
                <w:szCs w:val="18"/>
              </w:rPr>
              <w:t xml:space="preserve"> The well was flushed and jetted. </w:t>
            </w:r>
          </w:p>
          <w:p w14:paraId="79904ADB" w14:textId="6C09C85E" w:rsidR="00ED3C3B" w:rsidRDefault="00ED3C3B" w:rsidP="00A8697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crew started to construct the well vault. A well seal utilizing bentonite chips and Portland cement was constructed. The vault was put in place (24 inches deep) and dirt was backfilled around the vault area up to 6 inches below grade and compacted down. </w:t>
            </w:r>
          </w:p>
          <w:p w14:paraId="552B1EFB" w14:textId="77777777" w:rsidR="00ED3C3B" w:rsidRDefault="00ED3C3B" w:rsidP="00A86976">
            <w:pPr>
              <w:widowControl/>
              <w:rPr>
                <w:sz w:val="18"/>
                <w:szCs w:val="18"/>
              </w:rPr>
            </w:pPr>
          </w:p>
          <w:p w14:paraId="72506C9B" w14:textId="00EF5B5A" w:rsidR="00ED3C3B" w:rsidRDefault="00ED3C3B" w:rsidP="00A8697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During construction of the well vault, the crew discovered an abandoned buried utility. 811 was called and confirmed that all current/ live utilities were marked and were directed to move forward. </w:t>
            </w:r>
          </w:p>
          <w:p w14:paraId="4AD09620" w14:textId="77777777" w:rsidR="00ED3C3B" w:rsidRDefault="00ED3C3B" w:rsidP="00A86976">
            <w:pPr>
              <w:widowControl/>
              <w:rPr>
                <w:sz w:val="18"/>
                <w:szCs w:val="18"/>
              </w:rPr>
            </w:pPr>
          </w:p>
          <w:p w14:paraId="3C403411" w14:textId="46D95BFC" w:rsidR="00CB0F43" w:rsidRPr="00CB0F43" w:rsidDel="006A1D8D" w:rsidRDefault="00ED3C3B" w:rsidP="007E10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Excess dirt from the excavations </w:t>
            </w:r>
            <w:proofErr w:type="gramStart"/>
            <w:r>
              <w:rPr>
                <w:sz w:val="18"/>
                <w:szCs w:val="18"/>
              </w:rPr>
              <w:t>were</w:t>
            </w:r>
            <w:proofErr w:type="gramEnd"/>
            <w:r>
              <w:rPr>
                <w:sz w:val="18"/>
                <w:szCs w:val="18"/>
              </w:rPr>
              <w:t xml:space="preserve"> placed in drums and asphalt was piled on pallets. </w:t>
            </w:r>
          </w:p>
          <w:p w14:paraId="061A3BEF" w14:textId="77777777" w:rsidR="00CB0F43" w:rsidRPr="00CB0F43" w:rsidDel="006A1D8D" w:rsidRDefault="00CB0F43" w:rsidP="007E10D3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7E10D3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7E10D3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77777777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33A61030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  <w:r w:rsidR="00476BD9">
              <w:rPr>
                <w:sz w:val="18"/>
                <w:szCs w:val="18"/>
              </w:rPr>
              <w:t>x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tarped?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77777777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04C7C913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  <w:r w:rsidR="00476BD9">
              <w:rPr>
                <w:sz w:val="18"/>
                <w:szCs w:val="18"/>
              </w:rPr>
              <w:t>x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7F7983E3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  <w:r w:rsidR="00476BD9">
              <w:rPr>
                <w:sz w:val="18"/>
                <w:szCs w:val="18"/>
              </w:rPr>
              <w:t>x</w:t>
            </w:r>
          </w:p>
        </w:tc>
      </w:tr>
      <w:tr w:rsidR="00CB0F43" w:rsidRPr="00054AA8" w14:paraId="5DDE22C5" w14:textId="77777777" w:rsidTr="007E10D3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7E10D3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7E10D3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7E10D3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7E10D3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7E10D3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7E10D3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55339C01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0E4093C3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Kristen Amodeo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7A773531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HRP Associates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178EAA7B" w:rsidR="00CB0F43" w:rsidRPr="00293A78" w:rsidRDefault="0086706D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Consultant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41FFA801" w:rsidR="00CB0F43" w:rsidRPr="00293A78" w:rsidRDefault="0086706D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7054F">
              <w:rPr>
                <w:rFonts w:cs="Arial"/>
                <w:sz w:val="16"/>
                <w:szCs w:val="16"/>
              </w:rPr>
              <w:t>1</w:t>
            </w:r>
          </w:p>
        </w:tc>
      </w:tr>
      <w:tr w:rsidR="00CB0F43" w:rsidRPr="00054AA8" w14:paraId="3A3CF9DC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2FA9E0BE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Scott </w:t>
            </w:r>
            <w:proofErr w:type="spellStart"/>
            <w:r>
              <w:rPr>
                <w:rFonts w:cs="Arial"/>
                <w:sz w:val="16"/>
                <w:szCs w:val="16"/>
              </w:rPr>
              <w:t>Surber</w:t>
            </w:r>
            <w:proofErr w:type="spellEnd"/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6FAB6C6E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Ellingson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DTD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226B98B3" w:rsidR="00CB0F43" w:rsidRPr="00293A78" w:rsidRDefault="0086706D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Driller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445A1288" w:rsidR="00CB0F43" w:rsidRPr="00293A78" w:rsidRDefault="0086706D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7054F">
              <w:rPr>
                <w:rFonts w:cs="Arial"/>
                <w:sz w:val="16"/>
                <w:szCs w:val="16"/>
              </w:rPr>
              <w:t>1</w:t>
            </w:r>
          </w:p>
        </w:tc>
      </w:tr>
      <w:tr w:rsidR="00CB0F43" w:rsidRPr="00054AA8" w14:paraId="1269ADF6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5C1B5C72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Kevin Claymore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69926B2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Ellingson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DTD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66A2DA6D" w:rsidR="00CB0F43" w:rsidRPr="00293A78" w:rsidRDefault="0086706D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Driller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A912EB7" w:rsidR="00CB0F43" w:rsidRPr="00293A78" w:rsidRDefault="0086706D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7054F">
              <w:rPr>
                <w:rFonts w:cs="Arial"/>
                <w:sz w:val="16"/>
                <w:szCs w:val="16"/>
              </w:rPr>
              <w:t>1</w:t>
            </w:r>
          </w:p>
        </w:tc>
      </w:tr>
      <w:tr w:rsidR="00CB0F43" w:rsidRPr="00054AA8" w14:paraId="50C2E498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F8F92E1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Casey Goss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51C7A32F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Ellingson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DTD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1AB0F92F" w:rsidR="00CB0F43" w:rsidRPr="00293A78" w:rsidRDefault="0086706D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Driller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33368353" w:rsidR="00CB0F43" w:rsidRPr="00293A78" w:rsidRDefault="0086706D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7054F">
              <w:rPr>
                <w:rFonts w:cs="Arial"/>
                <w:sz w:val="16"/>
                <w:szCs w:val="16"/>
              </w:rPr>
              <w:t>1</w:t>
            </w:r>
          </w:p>
        </w:tc>
      </w:tr>
      <w:tr w:rsidR="00CB0F43" w:rsidRPr="00054AA8" w14:paraId="261C3B84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4E4E5923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Lukas Hanson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091C925D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Ellingson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DTD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15CFADC6" w:rsidR="00CB0F43" w:rsidRPr="00293A78" w:rsidRDefault="0086706D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Driller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66435BDD" w:rsidR="00CB0F43" w:rsidRPr="00293A78" w:rsidRDefault="0086706D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7054F">
              <w:rPr>
                <w:rFonts w:cs="Arial"/>
                <w:sz w:val="16"/>
                <w:szCs w:val="16"/>
              </w:rPr>
              <w:t>1</w:t>
            </w:r>
          </w:p>
        </w:tc>
      </w:tr>
      <w:tr w:rsidR="00CB0F43" w:rsidRPr="00054AA8" w14:paraId="4288A8B6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B5F6A" w:rsidRPr="00054AA8" w14:paraId="5900EC0E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23E37" w14:textId="77777777" w:rsidR="001B5F6A" w:rsidRPr="00293A78" w:rsidRDefault="001B5F6A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9A204" w14:textId="77777777" w:rsidR="001B5F6A" w:rsidRPr="00293A78" w:rsidRDefault="001B5F6A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94BB9" w14:textId="77777777" w:rsidR="001B5F6A" w:rsidRPr="00293A78" w:rsidRDefault="001B5F6A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CAAAA2" w14:textId="77777777" w:rsidR="001B5F6A" w:rsidRPr="00293A78" w:rsidRDefault="001B5F6A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734500" w:rsidRPr="00054AA8" w14:paraId="10732790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B01D6" w14:textId="77777777" w:rsidR="00734500" w:rsidRPr="00293A78" w:rsidRDefault="00734500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23448" w14:textId="77777777" w:rsidR="00734500" w:rsidRPr="00293A78" w:rsidRDefault="00734500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C50D9" w14:textId="77777777" w:rsidR="00734500" w:rsidRPr="00293A78" w:rsidRDefault="00734500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56727D" w14:textId="77777777" w:rsidR="00734500" w:rsidRPr="00293A78" w:rsidRDefault="00734500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734500" w:rsidRPr="00054AA8" w14:paraId="19DB947F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EB649" w14:textId="77777777" w:rsidR="00734500" w:rsidRPr="00293A78" w:rsidRDefault="00734500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40B80" w14:textId="77777777" w:rsidR="00734500" w:rsidRPr="00293A78" w:rsidRDefault="00734500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A0671" w14:textId="77777777" w:rsidR="00734500" w:rsidRPr="00293A78" w:rsidRDefault="00734500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45E7D4" w14:textId="77777777" w:rsidR="00734500" w:rsidRPr="00293A78" w:rsidRDefault="00734500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734500" w:rsidRPr="00054AA8" w14:paraId="0E0861E2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A8576" w14:textId="77777777" w:rsidR="00734500" w:rsidRPr="00293A78" w:rsidRDefault="00734500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F0490" w14:textId="77777777" w:rsidR="00734500" w:rsidRPr="00293A78" w:rsidRDefault="00734500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EFC86" w14:textId="77777777" w:rsidR="00734500" w:rsidRPr="00293A78" w:rsidRDefault="00734500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1A9664" w14:textId="77777777" w:rsidR="00734500" w:rsidRPr="00293A78" w:rsidRDefault="00734500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B5F6A" w:rsidRPr="00054AA8" w14:paraId="57D402EA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7A2C" w14:textId="77777777" w:rsidR="001B5F6A" w:rsidRPr="00293A78" w:rsidRDefault="001B5F6A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FCED8" w14:textId="77777777" w:rsidR="001B5F6A" w:rsidRPr="00293A78" w:rsidRDefault="001B5F6A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ED450" w14:textId="77777777" w:rsidR="001B5F6A" w:rsidRPr="00293A78" w:rsidRDefault="001B5F6A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C3E278" w14:textId="77777777" w:rsidR="001B5F6A" w:rsidRPr="00293A78" w:rsidRDefault="001B5F6A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7E10D3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7E10D3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7E10D3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7E10D3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56CC883D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Vermeer 10x15 drill rig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7F937103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EDTD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56636CA9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2932746" w:rsidR="00CB0F43" w:rsidRPr="00293A78" w:rsidRDefault="003C28D2" w:rsidP="007E10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2258517A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08286F7E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Jetting assembly and 7’ duckbill bit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1249F5E4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EDTD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3A6AD963" w:rsidR="00CB0F43" w:rsidRPr="00293A78" w:rsidRDefault="003C28D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3411C9C1" w:rsidR="00CB0F43" w:rsidRPr="00293A78" w:rsidRDefault="003C28D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E0650" w:rsidRPr="00293A78" w14:paraId="6B0A7779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65D0EAA9" w:rsidR="00CE0650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DCI F5 walkover navigation system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1AC733E2" w:rsidR="00CE0650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EDTD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671E1A73" w:rsidR="00CE0650" w:rsidRPr="00293A78" w:rsidRDefault="003C28D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03E77459" w:rsidR="00CE0650" w:rsidRPr="00293A78" w:rsidRDefault="003C28D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E0650" w:rsidRPr="00293A78" w14:paraId="5A50A9F3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61672B8F" w:rsidR="00CE0650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500 gallon water trailer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6BA6728F" w:rsidR="00CE0650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Rental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6B85C09F" w:rsidR="00CE0650" w:rsidRPr="00293A78" w:rsidRDefault="003C28D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583E0CC5" w:rsidR="00CE0650" w:rsidRPr="00293A78" w:rsidRDefault="003C28D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0D8BEC22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235B3DD5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Mini excavator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3E5A2D83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Rental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420AD7BD" w:rsidR="00CB0F43" w:rsidRPr="00293A78" w:rsidRDefault="003C28D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58793B14" w:rsidR="00CB0F43" w:rsidRPr="00293A78" w:rsidRDefault="003C28D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68E9F8EA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29C50104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Asphalt saw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304C52CB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Rental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B10FFB2" w:rsidR="00CB0F43" w:rsidRPr="00293A78" w:rsidRDefault="003C28D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562E5A95" w:rsidR="00CB0F43" w:rsidRPr="00293A78" w:rsidRDefault="003C28D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17054F" w:rsidRPr="00293A78" w14:paraId="4EE6044E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A84F" w14:textId="4D3EDF58" w:rsidR="0017054F" w:rsidRDefault="0017054F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Warehouse forklift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C3A1" w14:textId="64EA6E59" w:rsidR="0017054F" w:rsidRDefault="0017054F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Rental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2C4AB" w14:textId="10982DE4" w:rsidR="0017054F" w:rsidRDefault="0017054F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DF8B0B" w14:textId="39254A56" w:rsidR="0017054F" w:rsidRDefault="0017054F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146B70" w:rsidRPr="00293A78" w14:paraId="2257E4DE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3488DB17" w:rsidR="00146B70" w:rsidRPr="00293A78" w:rsidRDefault="00140CDE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275- gallon totes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3C898C61" w:rsidR="00146B70" w:rsidRPr="00293A78" w:rsidRDefault="00140CDE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Pro-Teck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03DB3890" w:rsidR="00146B70" w:rsidRPr="00293A78" w:rsidRDefault="00140CDE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0C159F31" w:rsidR="00146B70" w:rsidRPr="00293A78" w:rsidRDefault="00140CDE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146B70" w:rsidRPr="00293A78" w14:paraId="5FCD8085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5803A9EB" w:rsidR="00146B70" w:rsidRPr="00293A78" w:rsidRDefault="00D82623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Dust Trak DRX TSI 8533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04C61829" w:rsidR="00146B70" w:rsidRPr="00293A78" w:rsidRDefault="00D82623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US Environmental Rental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3E998F52" w:rsidR="00146B70" w:rsidRPr="00293A78" w:rsidRDefault="00D8262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241C1FFF" w:rsidR="00146B70" w:rsidRPr="00293A78" w:rsidRDefault="00D8262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146B70" w:rsidRPr="00293A78" w14:paraId="5B1F415D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2BBAE147" w:rsidR="00146B70" w:rsidRPr="00293A78" w:rsidRDefault="00D82623" w:rsidP="007E10D3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miniRAE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PID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20E1BB7F" w:rsidR="00146B70" w:rsidRPr="00293A78" w:rsidRDefault="00D82623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Us Environmental Rental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0EE2C7FD" w:rsidR="00146B70" w:rsidRPr="00293A78" w:rsidRDefault="00D8262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2D1EE803" w:rsidR="00146B70" w:rsidRPr="00293A78" w:rsidRDefault="00D8262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146B70" w:rsidRPr="00293A78" w14:paraId="59E035C0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A708C84" w:rsidR="00146B70" w:rsidRPr="00293A78" w:rsidRDefault="00D82623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Trimble GPS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31D90EF0" w:rsidR="00146B70" w:rsidRPr="00293A78" w:rsidRDefault="00D82623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Us Environmental Rental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6F1ED3D8" w:rsidR="00146B70" w:rsidRPr="00293A78" w:rsidRDefault="00D8262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67519B71" w:rsidR="00146B70" w:rsidRPr="00293A78" w:rsidRDefault="00476BD9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</w:tr>
      <w:tr w:rsidR="00CB0F43" w:rsidRPr="00293A78" w14:paraId="2122DD9C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010FF4E" w:rsidR="00CB0F43" w:rsidRPr="00293A78" w:rsidRDefault="00F25A21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55-gallon drums 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03BDF670" w:rsidR="00CB0F43" w:rsidRPr="00293A78" w:rsidRDefault="00F25A21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Pro-Teck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29A3E148" w:rsidR="00CB0F43" w:rsidRPr="00293A78" w:rsidRDefault="00F25A21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0F0662A6" w:rsidR="00CB0F43" w:rsidRPr="00293A78" w:rsidRDefault="00F25A21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EF5457" w:rsidRPr="00293A78" w14:paraId="41BE0C84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571F4680" w:rsidR="00EF5457" w:rsidRPr="00293A78" w:rsidRDefault="00F25A21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40x48inch wood pallets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0EC2B101" w:rsidR="00EF5457" w:rsidRPr="00293A78" w:rsidRDefault="00F25A21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Pro-Teck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5E0D3D51" w:rsidR="00EF5457" w:rsidRPr="00293A78" w:rsidRDefault="00F25A21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3CF630FB" w:rsidR="00EF5457" w:rsidRPr="00293A78" w:rsidRDefault="00F25A21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EF5457" w:rsidRPr="00293A78" w14:paraId="6420DE76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7E10D3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7E10D3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7E10D3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7E10D3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7E10D3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7E10D3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7E10D3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77777777" w:rsidR="00A74977" w:rsidRPr="00293A78" w:rsidRDefault="00A74977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77777777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769F2A1" w:rsidR="007A109A" w:rsidRPr="00F25A21" w:rsidRDefault="00F25A21" w:rsidP="007A109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  <w:r w:rsidRPr="00F25A21">
              <w:rPr>
                <w:rFonts w:cs="Arial"/>
                <w:sz w:val="16"/>
                <w:szCs w:val="16"/>
              </w:rPr>
              <w:t>Pro-</w:t>
            </w:r>
            <w:proofErr w:type="spellStart"/>
            <w:r w:rsidRPr="00F25A21">
              <w:rPr>
                <w:rFonts w:cs="Arial"/>
                <w:sz w:val="16"/>
                <w:szCs w:val="16"/>
              </w:rPr>
              <w:t>teck</w:t>
            </w:r>
            <w:proofErr w:type="spellEnd"/>
            <w:r w:rsidRPr="00F25A21">
              <w:rPr>
                <w:rFonts w:cs="Arial"/>
                <w:sz w:val="16"/>
                <w:szCs w:val="16"/>
              </w:rPr>
              <w:t xml:space="preserve"> delivered eight 55-gallon drums and 4 wooden pallets to the site</w:t>
            </w: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lastRenderedPageBreak/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678" w14:textId="40AB27E2" w:rsidR="007A109A" w:rsidRPr="00D82623" w:rsidRDefault="007A109A" w:rsidP="007A109A">
            <w:pPr>
              <w:widowControl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2C652E3A" w:rsidR="007A109A" w:rsidRPr="00D82623" w:rsidRDefault="007A109A" w:rsidP="007A109A">
            <w:pPr>
              <w:widowControl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0125E784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4E30F02A" w:rsidR="00146B70" w:rsidRPr="00D82623" w:rsidRDefault="00146B70" w:rsidP="00146B70">
            <w:pPr>
              <w:widowControl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64ED59BA" w:rsidR="00146B70" w:rsidRPr="00D82623" w:rsidRDefault="00146B70" w:rsidP="00146B70">
            <w:pPr>
              <w:widowControl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7109F4E4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02B5E46F" w:rsidR="00156E9F" w:rsidRPr="00D82623" w:rsidRDefault="00156E9F" w:rsidP="007A109A">
            <w:pPr>
              <w:widowControl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262F6156" w:rsidR="00156E9F" w:rsidRPr="00D82623" w:rsidRDefault="00156E9F" w:rsidP="007A109A">
            <w:pPr>
              <w:widowControl/>
              <w:spacing w:before="40" w:after="40"/>
              <w:rPr>
                <w:sz w:val="18"/>
                <w:szCs w:val="18"/>
              </w:rPr>
            </w:pP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07D3E151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4BAD0504" w14:textId="77777777" w:rsidR="00A86976" w:rsidRDefault="00A86976" w:rsidP="007A109A">
            <w:pPr>
              <w:widowControl/>
              <w:rPr>
                <w:sz w:val="20"/>
              </w:rPr>
            </w:pPr>
          </w:p>
          <w:p w14:paraId="47A63BFA" w14:textId="449B17F9" w:rsidR="00A86976" w:rsidRDefault="00A86976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>Thunderstorm,</w:t>
            </w:r>
            <w:r w:rsidR="00AE70DE">
              <w:rPr>
                <w:sz w:val="20"/>
              </w:rPr>
              <w:t xml:space="preserve"> 1</w:t>
            </w:r>
            <w:r>
              <w:rPr>
                <w:sz w:val="20"/>
              </w:rPr>
              <w:t xml:space="preserve"> hour delay</w:t>
            </w: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D8ED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C6CEA00" w14:textId="77777777" w:rsidR="001F276F" w:rsidRDefault="001F276F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6FE204" w14:textId="74E1D05A" w:rsidR="007A109A" w:rsidRPr="008A43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7FAEEDB2" w14:textId="6F8BACB1" w:rsidR="001F276F" w:rsidRPr="008A439A" w:rsidRDefault="001F276F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from neighboring school utilize parking lot, coordinated with them parking spaces that we can leave available to them.</w:t>
            </w:r>
          </w:p>
          <w:p w14:paraId="374E4021" w14:textId="1A8A9146" w:rsidR="007A10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t>Include (insert) figures with markups showing location of work and job progress</w:t>
      </w:r>
    </w:p>
    <w:p w14:paraId="08EE5964" w14:textId="53661492" w:rsidR="00286273" w:rsidRDefault="00707272" w:rsidP="008965D4">
      <w:pPr>
        <w:widowControl/>
        <w:jc w:val="center"/>
      </w:pPr>
      <w:r>
        <w:rPr>
          <w:noProof/>
        </w:rPr>
        <w:lastRenderedPageBreak/>
        <w:drawing>
          <wp:inline distT="0" distB="0" distL="0" distR="0" wp14:anchorId="0E30076C" wp14:editId="33ABB51C">
            <wp:extent cx="3819525" cy="4591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273">
        <w:br w:type="page"/>
      </w:r>
    </w:p>
    <w:p w14:paraId="05CED6EC" w14:textId="611991A2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10D9DA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267189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82746C7" w14:textId="4D24E353" w:rsidR="007A109A" w:rsidRPr="008A439A" w:rsidRDefault="00E84FF0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CBA8AB" wp14:editId="7F073ECE">
                  <wp:extent cx="3048000" cy="2286000"/>
                  <wp:effectExtent l="0" t="0" r="0" b="0"/>
                  <wp:docPr id="2" name="Picture 2" descr="S:\Data\N\NYDEC - NEW YORK STATE DEPARTMENT OF ENVIRONMENTAL CONSERVATION\NORTH HEMPSTEAD\110 CUTTER MILL ROAD, VILLAGE OF GREAT NECK PLAZA\DEC1003OM\FieldData\HSVE Installation\photos\IMG_3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Data\N\NYDEC - NEW YORK STATE DEPARTMENT OF ENVIRONMENTAL CONSERVATION\NORTH HEMPSTEAD\110 CUTTER MILL ROAD, VILLAGE OF GREAT NECK PLAZA\DEC1003OM\FieldData\HSVE Installation\photos\IMG_3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305A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A808A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C60B62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2D11BF2" w:rsidR="007A109A" w:rsidRPr="008A439A" w:rsidRDefault="00E84FF0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7785DC" wp14:editId="3D8A3BC5">
                  <wp:extent cx="3048000" cy="2286000"/>
                  <wp:effectExtent l="0" t="0" r="0" b="0"/>
                  <wp:docPr id="4" name="Picture 4" descr="S:\Data\N\NYDEC - NEW YORK STATE DEPARTMENT OF ENVIRONMENTAL CONSERVATION\NORTH HEMPSTEAD\110 CUTTER MILL ROAD, VILLAGE OF GREAT NECK PLAZA\DEC1003OM\FieldData\HSVE Installation\photos\IMG_3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Data\N\NYDEC - NEW YORK STATE DEPARTMENT OF ENVIRONMENTAL CONSERVATION\NORTH HEMPSTEAD\110 CUTTER MILL ROAD, VILLAGE OF GREAT NECK PLAZA\DEC1003OM\FieldData\HSVE Installation\photos\IMG_3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1B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028BBAE" w14:textId="4D4557FA" w:rsidR="007A109A" w:rsidRPr="008A439A" w:rsidRDefault="00E84FF0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>PVC installed at HSVE-01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6D32F438" w:rsidR="007A109A" w:rsidRPr="008A439A" w:rsidRDefault="00E84FF0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>abandoned utility line at HSVE-01</w:t>
            </w:r>
          </w:p>
        </w:tc>
      </w:tr>
      <w:tr w:rsidR="00F35D9B" w14:paraId="6AAC332E" w14:textId="77777777" w:rsidTr="007E10D3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7E10D3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7E10D3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34635A54" w:rsidR="00CB0F43" w:rsidRPr="0083619B" w:rsidRDefault="00CB0F43" w:rsidP="007E10D3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  <w:r w:rsidR="00E84FF0">
              <w:rPr>
                <w:sz w:val="20"/>
                <w:shd w:val="clear" w:color="auto" w:fill="F2F2F2" w:themeFill="background1" w:themeFillShade="F2"/>
              </w:rPr>
              <w:t>Kristen Amodeo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628D1158" w:rsidR="00CB0F43" w:rsidRPr="0083619B" w:rsidRDefault="00CB0F43" w:rsidP="007E10D3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  <w:r w:rsidR="00E84FF0">
              <w:rPr>
                <w:b/>
                <w:sz w:val="20"/>
              </w:rPr>
              <w:t>8/13/2020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7E10D3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social distancing being practiced?</w:t>
            </w:r>
          </w:p>
        </w:tc>
        <w:tc>
          <w:tcPr>
            <w:tcW w:w="900" w:type="dxa"/>
            <w:vAlign w:val="center"/>
          </w:tcPr>
          <w:p w14:paraId="1A580D77" w14:textId="689DC9A8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7E10D3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the tail gate safety meeting held outdoors?</w:t>
            </w:r>
          </w:p>
        </w:tc>
        <w:tc>
          <w:tcPr>
            <w:tcW w:w="900" w:type="dxa"/>
            <w:vAlign w:val="center"/>
          </w:tcPr>
          <w:p w14:paraId="17333EC1" w14:textId="3A7F9E41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7E10D3">
            <w:pPr>
              <w:rPr>
                <w:sz w:val="20"/>
              </w:rPr>
            </w:pPr>
            <w:proofErr w:type="gramStart"/>
            <w:r w:rsidRPr="0022439C">
              <w:rPr>
                <w:sz w:val="20"/>
              </w:rPr>
              <w:t>Are</w:t>
            </w:r>
            <w:proofErr w:type="gramEnd"/>
            <w:r w:rsidRPr="0022439C">
              <w:rPr>
                <w:sz w:val="20"/>
              </w:rPr>
              <w:t xml:space="preserve"> </w:t>
            </w:r>
            <w:r w:rsidRPr="0022439C">
              <w:rPr>
                <w:color w:val="000000"/>
                <w:sz w:val="20"/>
              </w:rPr>
              <w:t>remote/call in job meetings being held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545F7F45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Were personal protective gloves, masks, and eye protection being used?</w:t>
            </w:r>
          </w:p>
        </w:tc>
        <w:tc>
          <w:tcPr>
            <w:tcW w:w="900" w:type="dxa"/>
            <w:vAlign w:val="center"/>
          </w:tcPr>
          <w:p w14:paraId="1E3E2225" w14:textId="64A4DB03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0A99B20C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303C3E96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77777777" w:rsidR="0022439C" w:rsidRPr="0022439C" w:rsidRDefault="0022439C" w:rsidP="007E10D3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7E10D3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7E10D3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4F770C31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7E10D3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7E10D3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2B1BB503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7E10D3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 xml:space="preserve">at this </w:t>
            </w:r>
            <w:proofErr w:type="spellStart"/>
            <w:r w:rsidR="005F1352">
              <w:rPr>
                <w:rFonts w:cs="Arial"/>
                <w:szCs w:val="24"/>
              </w:rPr>
              <w:t>locaton</w:t>
            </w:r>
            <w:proofErr w:type="spellEnd"/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7E10D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4013FC1E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7E10D3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 xml:space="preserve">at this </w:t>
            </w:r>
            <w:proofErr w:type="spellStart"/>
            <w:r w:rsidR="005F1352">
              <w:rPr>
                <w:rFonts w:cs="Arial"/>
                <w:szCs w:val="24"/>
              </w:rPr>
              <w:t>locaton</w:t>
            </w:r>
            <w:proofErr w:type="spellEnd"/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7E10D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170C864D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7E10D3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proofErr w:type="gramStart"/>
            <w:r w:rsidRPr="00B07348">
              <w:rPr>
                <w:rFonts w:cs="Arial"/>
                <w:szCs w:val="24"/>
              </w:rPr>
              <w:t>Does</w:t>
            </w:r>
            <w:proofErr w:type="gramEnd"/>
            <w:r w:rsidRPr="00B07348">
              <w:rPr>
                <w:rFonts w:cs="Arial"/>
                <w:szCs w:val="24"/>
              </w:rPr>
              <w:t xml:space="preserve">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7E10D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61218564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7E10D3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7E10D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7777777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7E10D3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77777777" w:rsidR="00375175" w:rsidRPr="0022439C" w:rsidRDefault="00375175" w:rsidP="007E10D3">
            <w:pPr>
              <w:rPr>
                <w:sz w:val="20"/>
              </w:rPr>
            </w:pPr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7E10D3">
            <w:pPr>
              <w:rPr>
                <w:sz w:val="20"/>
              </w:rPr>
            </w:pPr>
            <w:proofErr w:type="gramStart"/>
            <w:r w:rsidRPr="0022439C">
              <w:rPr>
                <w:sz w:val="20"/>
              </w:rPr>
              <w:t>Were</w:t>
            </w:r>
            <w:proofErr w:type="gramEnd"/>
            <w:r w:rsidRPr="0022439C">
              <w:rPr>
                <w:sz w:val="20"/>
              </w:rPr>
              <w:t xml:space="preserve">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25E1C496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5B446EBC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02554430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6A930D3B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6961980F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1DB1158F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Any visible contrast (turbidity) beyond engineering controls observed on this date?</w:t>
            </w:r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3F91BA28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Was turbidity checked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03366AE3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Were any property owners NOT provided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3381B683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2FEA5FC6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Was the temporary fabric structure closed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4E74626A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site which </w:t>
            </w:r>
            <w:proofErr w:type="gramStart"/>
            <w:r w:rsidRPr="0022439C">
              <w:rPr>
                <w:sz w:val="20"/>
              </w:rPr>
              <w:t>are</w:t>
            </w:r>
            <w:proofErr w:type="gramEnd"/>
            <w:r w:rsidRPr="0022439C">
              <w:rPr>
                <w:sz w:val="20"/>
              </w:rPr>
              <w:t xml:space="preserve"> affected by the excavations or other operations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5D5E184B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386EE3D5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If yes, has Contractor been notified?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3848A8D5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77777777" w:rsidR="0022439C" w:rsidRPr="0022439C" w:rsidRDefault="0022439C" w:rsidP="007E10D3">
            <w:pPr>
              <w:rPr>
                <w:sz w:val="20"/>
              </w:rPr>
            </w:pP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6DB57" w14:textId="77777777" w:rsidR="00AC32A9" w:rsidRDefault="00AC32A9">
      <w:r>
        <w:separator/>
      </w:r>
    </w:p>
  </w:endnote>
  <w:endnote w:type="continuationSeparator" w:id="0">
    <w:p w14:paraId="780111CD" w14:textId="77777777" w:rsidR="00AC32A9" w:rsidRDefault="00AC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0E269" w14:textId="1ADB7E3D" w:rsidR="00AC32A9" w:rsidRPr="00BB6270" w:rsidRDefault="00AC32A9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5BC69" w14:textId="37476DDA" w:rsidR="00AC32A9" w:rsidRPr="00BB6270" w:rsidRDefault="00AC32A9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02BE7" w14:textId="77777777" w:rsidR="00AC32A9" w:rsidRDefault="00AC32A9">
      <w:r>
        <w:separator/>
      </w:r>
    </w:p>
  </w:footnote>
  <w:footnote w:type="continuationSeparator" w:id="0">
    <w:p w14:paraId="7F52C11D" w14:textId="77777777" w:rsidR="00AC32A9" w:rsidRDefault="00AC3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642AB" w14:textId="15888103" w:rsidR="00AC32A9" w:rsidRDefault="00AC32A9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>DAILY INSPECTION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E46054">
          <w:rPr>
            <w:b/>
            <w:bCs/>
            <w:noProof/>
          </w:rPr>
          <w:t>8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E46054">
          <w:rPr>
            <w:b/>
            <w:bCs/>
            <w:noProof/>
          </w:rPr>
          <w:t>8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19E0E7F5" w:rsidR="00AC32A9" w:rsidRDefault="00AC32A9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  <w:t xml:space="preserve">     </w:t>
    </w:r>
    <w:r>
      <w:rPr>
        <w:rFonts w:cs="Arial"/>
        <w:b/>
        <w:u w:val="single"/>
      </w:rPr>
      <w:t>Former Stanton Cleaners</w:t>
    </w:r>
    <w:r w:rsidRPr="008A439A">
      <w:rPr>
        <w:rFonts w:cs="Arial"/>
        <w:b/>
        <w:u w:val="single"/>
      </w:rPr>
      <w:t>-</w:t>
    </w:r>
    <w:r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 xml:space="preserve">NYSDEC Site No. </w:t>
    </w:r>
    <w:r w:rsidR="00E46054">
      <w:rPr>
        <w:rFonts w:cs="Arial"/>
        <w:b/>
        <w:u w:val="single"/>
      </w:rPr>
      <w:t>130072</w:t>
    </w:r>
    <w:r>
      <w:rPr>
        <w:rFonts w:cs="Arial"/>
        <w:b/>
        <w:u w:val="single"/>
      </w:rPr>
      <w:t>_</w:t>
    </w:r>
    <w:r w:rsidRPr="00B877A8">
      <w:rPr>
        <w:rFonts w:cs="Arial"/>
        <w:u w:val="single"/>
      </w:rPr>
      <w:t>Date:</w:t>
    </w:r>
    <w:r>
      <w:rPr>
        <w:rFonts w:cs="Arial"/>
        <w:spacing w:val="-2"/>
        <w:u w:val="single"/>
      </w:rPr>
      <w:t xml:space="preserve">  08/1</w:t>
    </w:r>
    <w:r w:rsidR="00FB186C">
      <w:rPr>
        <w:rFonts w:cs="Arial"/>
        <w:spacing w:val="-2"/>
        <w:u w:val="single"/>
      </w:rPr>
      <w:t>3</w:t>
    </w:r>
    <w:r>
      <w:rPr>
        <w:rFonts w:cs="Arial"/>
        <w:spacing w:val="-2"/>
        <w:u w:val="single"/>
      </w:rPr>
      <w:t>/2020________</w:t>
    </w:r>
  </w:p>
  <w:p w14:paraId="64FA6888" w14:textId="77777777" w:rsidR="00AC32A9" w:rsidRPr="005861E5" w:rsidRDefault="00AC32A9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F7800" w14:textId="77777777" w:rsidR="00AC32A9" w:rsidRDefault="00AC32A9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AC32A9" w:rsidRDefault="00AC32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CDE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ED7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54F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28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5F6A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6F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604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8D2"/>
    <w:rsid w:val="003C2C49"/>
    <w:rsid w:val="003C2FC5"/>
    <w:rsid w:val="003C3267"/>
    <w:rsid w:val="003C327E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2089D"/>
    <w:rsid w:val="00420EDA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0F4A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BD9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6D69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26D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272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00"/>
    <w:rsid w:val="007345AF"/>
    <w:rsid w:val="007345B7"/>
    <w:rsid w:val="00734601"/>
    <w:rsid w:val="00734919"/>
    <w:rsid w:val="00734FE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AD2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0D3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06D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3CB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8EF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6976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2A9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0DE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63D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BD8"/>
    <w:rsid w:val="00C76D4B"/>
    <w:rsid w:val="00C7732C"/>
    <w:rsid w:val="00C773B8"/>
    <w:rsid w:val="00C776A1"/>
    <w:rsid w:val="00C779E3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0D6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68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14F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069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23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817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9"/>
    <w:rsid w:val="00E12FA3"/>
    <w:rsid w:val="00E13196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054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4FF0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73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C3B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21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754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6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86C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7968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cid:image006.jpg@01D5F847.FBF8CA1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7F5C-1F0C-4CD9-9E02-7ACE2EF3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1137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creator>EA Engineering</dc:creator>
  <cp:lastModifiedBy>David J. Feinson</cp:lastModifiedBy>
  <cp:revision>12</cp:revision>
  <cp:lastPrinted>2019-08-01T13:15:00Z</cp:lastPrinted>
  <dcterms:created xsi:type="dcterms:W3CDTF">2020-08-17T15:43:00Z</dcterms:created>
  <dcterms:modified xsi:type="dcterms:W3CDTF">2020-08-17T19:54:00Z</dcterms:modified>
</cp:coreProperties>
</file>